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WPR.2025.59 vom 7. Juli 2025</w:t>
      </w:r>
    </w:p>
    <w:p>
      <w:r>
        <w:t>AG Verwaltungsgericht, 2025-07-07, DE</w:t>
      </w:r>
    </w:p>
    <w:p>
      <w:r>
        <w:rPr>
          <w:b/>
        </w:rPr>
        <w:t xml:space="preserve">Quelle: </w:t>
      </w:r>
      <w:r>
        <w:t>https://mcp.opencaselaw.ch/entscheid/ag_verwaltungsgericht_WPR.2025.59</w:t>
      </w:r>
    </w:p>
    <w:p>
      <w:r>
        <w:t>FR: AG_VERWALTUNGSGERICHT WPR.2025.59 du 7 juillet 2025</w:t>
      </w:r>
    </w:p>
    <w:p>
      <w:r>
        <w:t>IT: AG_VERWALTUNGSGERICHT WPR.2025.59 del 7 luglio 2025</w:t>
      </w:r>
    </w:p>
    <w:p>
      <w:pPr>
        <w:pStyle w:val="Heading2"/>
      </w:pPr>
      <w:r>
        <w:t>Erwägungen</w:t>
      </w:r>
    </w:p>
    <w:p>
      <w:r>
        <w:rPr>
          <w:b/>
        </w:rPr>
        <w:t>E. 2</w:t>
      </w:r>
    </w:p>
    <w:p>
      <w:r>
        <w:t>Im vorliegenden Fall wurde die bestehende Haft bis zum 8. Juli 2025, 12.00 Uhr, bestätigt (Entscheid des Verwaltungsgerichts WPR.2025.35 vom 10. April 2025; MI-act. 580 ff.). Das MIKA ordnete am 24. Juni 2025 eine Haftverlängerung um weitere drei Monate an (act. 1 ff.). Im Anschluss an die Gewährung des rechtlichen Gehörs verzichtete der Gesuchsgegner auf eine mündliche Haftüberprüfung (MI-act. 715). Die heutige Überprüfung der Haftverlängerung erfolgt somit ohne mündliche Verhandlung und vor Ablauf der bereits bewilligten Haft.</w:t>
      </w:r>
    </w:p>
    <w:p>
      <w:r>
        <w:t>- 6 - II. 1. Gemäss Art. 74 Abs. 1 lit. gbis des Bundesgesetzes über die Organisation der Strafbehörden des Bundes vom 19. März 2010 (Strafbehörden- organisationsgesetz, StBOG; SR 173.71) sind die Kantone für den Vollzug von Landesverweisungen zuständig, die von den Strafbehörden des Bundes angeordnet wurden. Die Strafbehörde des Bundes bestimmt gemäss Art. 74 Abs. 2 StBOG in Anwendung der Artikel 31–36 der Schweizerischen Strafprozessordnung vom 5. Oktober 2007 (Straf- prozessordnung, StPO; SR 312.0) im Entscheid, welcher Kanton für den Vollzug zuständig ist. Das Bundesstrafgericht hat mit Urteil vom 13. November 2024 den Kanton Aargau als Vollzugskanton für die Landesverweisung des Gesuchsgegners bestimmt (MI-act. 23). Wurde ein erstinstanzlicher Weg- oder Ausweisungsentscheid eröffnet oder wurde die betroffene Person mit einer erstinstanzlichen Landes- verweisung belegt, kann die zuständige kantonale Behörde die betroffene Person zur Sicherstellung des Vollzugs in Haft nehmen bzw. bei bestehender Haft eine Haftverlängerung anordnen (Art. 76 des Bundes- gesetzes über die Ausländerinnen und Ausländer und über die Integration vom 16. Dezember 2005 [Ausländer- und Integrationsgesetz, AIG; SR 142.20]). Zuständige kantonale Behörde im Sinne von Art. 80 Abs. 1 AIG ist bei migrationsamtlichen Wegweisungen gemäss § 13 Abs. 1 EGAR und bei Landesverweisungen gemäss § 89 der Verordnung über den Vollzug von Strafen und Massnahmen vom 23. September 2020 (Strafvollzugs- verordnung, SMV; SAR 253.112) das MIKA. Im vorliegenden Fall wurde die Haftverlängerung durch das MIKA und damit durch die zuständige Behörde angeordnet (act. 1 ff.).</w:t>
      </w:r>
    </w:p>
    <w:p>
      <w:r>
        <w:rPr>
          <w:b/>
        </w:rPr>
        <w:t>E. 2.1</w:t>
      </w:r>
    </w:p>
    <w:p>
      <w:r>
        <w:t>Das MIKA begründet die Haftverlängerung damit, dass es den Gesuchs- 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Wie bereits mit dem Urteil betreffend Anordnung der Ausschaffungshaft vom 10. April 2025 (WPR.2025.35, Erw. II/2.2 [MI-act. 585]) festgestellt wurde, wies das SEM den Gesuchsgegner mit rechtskräftigem Entscheid</w:t>
      </w:r>
    </w:p>
    <w:p>
      <w:r>
        <w:t>- 7 - vom 10. März 2022 aus der Schweiz weg (MI-act. 54 ff., 101 ff., 111). Darüber hinaus wurde der Gesuchsgegner mit zwischenzeitlich in Rechts- kraft erwachsenem Urteil des Bundesstrafgerichts vom 13. November 2024 für zehn Jahre des Landes verwiesen (MI-act. 22 ff., 229, 609 f.). Damit liegen nicht nur eine erstinstanzliche, sondern sogar eine rechtskräftige Landesverweisung sowie ein rechtskräftiger Wegweisungsentscheid gegen den Gesuchsgegner vor. Die Voraussetzung von Art. 76 Abs. 1 AIG ist damit erfüllt.</w:t>
      </w:r>
    </w:p>
    <w:p>
      <w:r>
        <w:rPr>
          <w:b/>
        </w:rPr>
        <w:t>E. 2.3</w:t>
      </w:r>
    </w:p>
    <w:p>
      <w:r>
        <w:t>Gemäss Art. 80 Abs. 6 lit. a AIG ist die Haft zu beenden, wenn sich erweist, dass der Vollzug der Wegweisung aus rechtlichen oder tatsächlichen Gründen undurchführbar ist. Nachdem die algerischen Behörden die Ausstellung eines Ersatzreise- dokuments zunächst verweigert hatten, um Abklärungen im Zusammen- hang mit dem gesundheitlichen Zustand des Gesuchsgegners zu tätigen (MI-act. 633), sicherten sie am 19. Juni 2025 die Ausstellung eines Ersatzreisedokuments zu (MI-act. 711). Das Vollzugshindernis des fehlen- den Reisedokuments besteht damit nicht mehr. Weitere Anzeichen, die an der Ausschaffungsmöglichkeit in rechtlicher oder tatsächlicher Hinsicht Zweifel aufkommen lassen würden, sind keine ersichtlich.</w:t>
      </w:r>
    </w:p>
    <w:p>
      <w:r>
        <w:rPr>
          <w:b/>
        </w:rPr>
        <w:t>E. 3</w:t>
      </w:r>
    </w:p>
    <w:p>
      <w:r>
        <w:t>Die mit Urteil vom 10. April 2025 festgestellten Haftgründe nach Art. 76 Abs. 1 lit. b Ziff. 3 und Ziff. 4 (Untertauchensgefahr) sowie gemäss Art. 76 Abs. 1 lit. b Ziff. 1 i.V.m. Art. 75 Abs. 1 lit. i AIG (Gefährdung der inneren oder äusseren Sicherheit) bestehen nach wie vor (vgl. WPR.2025.35, Erw. II/3 [MI-act. 585 ff.]).</w:t>
      </w:r>
    </w:p>
    <w:p>
      <w:r>
        <w:rPr>
          <w:b/>
        </w:rPr>
        <w:t>E. 4</w:t>
      </w:r>
    </w:p>
    <w:p>
      <w:r>
        <w:t>Bezüglich der Haftbedingungen liegen keine Beanstandungen vor.</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75–78 AIG zusammen die maximale Haftdauer von sechs Monaten nicht überschreiten. Eine darüber hinausgehende Ver- längerung auf höchstens 18 Monate, bzw. für Minderjährige zwischen</w:t>
      </w:r>
    </w:p>
    <w:p>
      <w:r>
        <w:t>- 8 - 15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bewilligten Haft bereits seit drei Monaten in ausländerrechtlicher Haft im Sinne von Art. 75 – 78 AIG (Ausschaffungshaft 9. April 2025, 09.00 Uhr–</w:t>
      </w:r>
    </w:p>
    <w:p>
      <w:r>
        <w:rPr>
          <w:b/>
        </w:rPr>
        <w:t>E. 6.3</w:t>
      </w:r>
    </w:p>
    <w:p>
      <w:r>
        <w:t>Das MIKA ordnete die Verlängerung der Ausschaffungshaft um weitere drei Monate, d.h. bis zum 8. Oktober 2025, an. Anzumerken ist, dass die Anordnung des MIKA sich insoweit als fehlerhaft erweist, als dass in Ziffer 1 der Verfügung vom 24. Juni 2025 eine Jahreszahl fehlt. Aus dem Gesamtkontext ergibt sich jedoch, dass der 8. Oktober des Jahres 2025 gemeint sein muss. Es handelt sich folglich um eine offensichtliche Unrichtigkeit im Entscheid, die gemäss § 2 Abs. 1 EGAR i.V.m. § 36 Abs. 1 des Gesetzes über die Verwaltungsrechtspflege vom 4. Dezember 2007 (Verwaltungsrechtspflegegesetz, VRPG; SAR 271.200) zu berichtigen ist. Da die ausländerrechtliche Inhaftierung im Sinne von Art. 75–78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w:t>
      </w:r>
    </w:p>
    <w:p>
      <w:r>
        <w:t>- 9 - gegen eine Haftverlängerung sprechen würden. Der Gesuchsgegner macht auch nicht geltend, er sei nicht hafterstehungsfähig und führt auch sonst nicht aus, inwiefern die Haft unverhältnismässig wäre. Insgesamt sind keinerlei Gründe ersichtlich, welche die Verlängerung der Haft als unverhältnismässig erscheinen liessen. III. 1. Gemäss § 28 Abs. 1 EGAR ist das Verfahren betreffend Haftüberprüfung unentgeltlich. Demgemäss werden keine Kosten erhoben. 2. Der mit Urteil vom 10. April 2025 bestätigte amtliche Rechtsvertreter bleibt im Amt und kann seine Kostennote im Rahmen des Verfahrens WPR.2025.35 einreichen.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weitere Verhandlung mit Parteibefragung durchzuführen (vgl.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 Der Einzelrichter erkennt:</w:t>
      </w:r>
    </w:p>
    <w:p>
      <w:r>
        <w:rPr>
          <w:b/>
        </w:rPr>
        <w:t>E. 8</w:t>
      </w:r>
    </w:p>
    <w:p>
      <w:r>
        <w:t>Juli 2025, 12.00 Uhr). Die sechsmonatige Frist wird damit am 8. Oktober 2025, 12.00 Uhr, enden und die Haft kann längstens bis zum 8. Oktober 2026, 12.00 Uhr, verlängert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