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WPR.2025.48 vom 15. Mai 2025</w:t>
      </w:r>
    </w:p>
    <w:p>
      <w:r>
        <w:t>AG Verwaltungsgericht, 2025-05-15, DE</w:t>
      </w:r>
    </w:p>
    <w:p>
      <w:r>
        <w:rPr>
          <w:b/>
        </w:rPr>
        <w:t xml:space="preserve">Quelle: </w:t>
      </w:r>
      <w:r>
        <w:t>https://mcp.opencaselaw.ch/entscheid/ag_verwaltungsgericht_WPR.2025.48</w:t>
      </w:r>
    </w:p>
    <w:p>
      <w:r>
        <w:t>FR: AG_VERWALTUNGSGERICHT WPR.2025.48 du 15 mai 2025</w:t>
      </w:r>
    </w:p>
    <w:p>
      <w:r>
        <w:t>IT: AG_VERWALTUNGSGERICHT WPR.2025.48 del 15 maggio 2025</w:t>
      </w:r>
    </w:p>
    <w:p>
      <w:pPr>
        <w:pStyle w:val="Heading2"/>
      </w:pPr>
      <w:r>
        <w:t>Erwägungen</w:t>
      </w:r>
    </w:p>
    <w:p>
      <w:r>
        <w:rPr>
          <w:b/>
        </w:rPr>
        <w:t>E. 2</w:t>
      </w:r>
    </w:p>
    <w:p>
      <w:r>
        <w:t>Die Haft begann am 14. Mai 2025,11:30 Uhr. Sie wird in Anwendung von Art. 76 AIG für 30 Tage bis zum 12. Juni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Entscheid vom 29. April 2021 aus der Schweiz weg (MI-act. 24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Bässlergut Basel vollzogen. Soweit für die Befragung oder die Durchführung einer Haftverhandlung zwingend, erfolgt die Inhaftierung für die notwendige Dauer im Bezirksgefängnis Aarau oder Zentral- gefängnis Lenzburg. C. Anlässlich der heutigen Verhandlung vor dem Einzelrichter des Verwaltungsgerichts wurden der Gesuchsteller und der Gesuchsgegner befragt. D. Der Gesuchsteller beantragte die Bestätigung der Haftanordnung (Protokoll S. 4, act. 29). Der Gesuchsgegner stellte sinngemäss den Antrag auf Nichtbestätigung der Haft (Protokoll S. 4 f., act. 29 f.).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14. Mai 2025, 11.30 Uhr, angehalten. Die mündliche Verhandlung begann am 15. Mai 2025,14.30 Uhr; das Urteil wurde um 15.00 Uhr eröffnet. Die richterliche Haftüberprüfung erfolgte somit innerhalb der Frist von 96 Stunden.</w:t>
      </w:r>
    </w:p>
    <w:p>
      <w:r>
        <w:t>- 4 -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w:t>
      </w:r>
    </w:p>
    <w:p>
      <w:r>
        <w:t>- 5 -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 TIN HRUSCHKA/FANNY DE WECK [Hrsg.], Kommentar Migrationsrecht,</w:t>
      </w:r>
    </w:p>
    <w:p>
      <w:r>
        <w:rPr>
          <w:b/>
        </w:rPr>
        <w:t>E. 3.2</w:t>
      </w:r>
    </w:p>
    <w:p>
      <w:r>
        <w:t>Nachdem der Gesuchsgegner mehrfach und auch anlässlich der heutigen Verhandlung wiederholt angegeben bzw. zu Protokoll gegeben hat, er werde nicht freiwillig in sein Heimatland zurückkehren und er legal in kein anderes Land ausreisen kann, liegt ein klares Anzeichen dafür vor, dass sich der Gesuchsgegner der Ausschaffung entziehen will (vgl. BGE 130 II 377, Erw. 3.2.2). Damit ist der Haftgrund von Art. 76 Abs. 1 lit. b Ziff. 3 und 4 AIG erfüllt. 4. Bezüglich der Haftbedingungen liegen keine Beanstandungen vor (Protokoll S. 4, act. 29).</w:t>
      </w:r>
    </w:p>
    <w:p>
      <w:r>
        <w:rPr>
          <w:b/>
        </w:rPr>
        <w:t>E. 5</w:t>
      </w:r>
    </w:p>
    <w:p>
      <w:r>
        <w:t>Es liegen auch keine Anzeichen dafür vor, dass das MIKA dem Beschleunigungsgebot (Art. 76 Abs. 4 AIG) nicht ausreichend Beachtung geschenkt hätte.</w:t>
      </w:r>
    </w:p>
    <w:p>
      <w:r>
        <w:t>- 6 -</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Aufgrund der unmissverständlichen Weigerung zur Ausreise besteht die konkrete Gefahr, dass der Gesuchsgegner untertauchen würde, sobald ihm die Flugdaten bekannt wären, womit eine mildere Massnahme in Form einer Meldepflicht nicht zielführend wäre. Der Gesuchsgegner macht zu Recht auch nicht geltend, er sei nicht hafterstehungsfähig. Dies umso weniger als seine Hafterstehungsfähigkeit unmittelbar nach seiner Festnahme geprüft und bejaht wurde (MI-act. 358 f.). Auch der Umstand, dass der Gesuchs- gegner sich eigenen Angaben zufolge täglich mindestens zwei Stunden aufgrund seines körperlichen Zustandes bewegen muss, bedeutet nicht, dass seine Inhaftierung unzulässig wäre, da er sowohl im Zentrum für ausländerrechtliche Administrativhaft Zürich als auch im Bässlergut Basel die Möglichkeit hat, sich sportlich zu betätigen. Gegebenenfalls kann seinen erhöhten Anforderungen an tägliche Bewegung durch entsprech- ende Weisungen des MIKA gegenüber der Haftanstalt Rechnung getragen werden. Insgesamt sind keinerlei Gründe ersichtlich, welche die ange- 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