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WPR.2025.46 vom 15. Mai 2025</w:t>
      </w:r>
    </w:p>
    <w:p>
      <w:r>
        <w:t>AG Verwaltungsgericht, 2025-05-15, DE</w:t>
      </w:r>
    </w:p>
    <w:p>
      <w:r>
        <w:rPr>
          <w:b/>
        </w:rPr>
        <w:t xml:space="preserve">Quelle: </w:t>
      </w:r>
      <w:r>
        <w:t>https://mcp.opencaselaw.ch/entscheid/ag_verwaltungsgericht_WPR.2025.46</w:t>
      </w:r>
    </w:p>
    <w:p>
      <w:r>
        <w:t>FR: AG_VERWALTUNGSGERICHT WPR.2025.46 du 15 mai 2025</w:t>
      </w:r>
    </w:p>
    <w:p>
      <w:r>
        <w:t>IT: AG_VERWALTUNGSGERICHT WPR.2025.46 del 15 maggio 2025</w:t>
      </w:r>
    </w:p>
    <w:p>
      <w:pPr>
        <w:pStyle w:val="Heading2"/>
      </w:pPr>
      <w:r>
        <w:t>Erwägungen</w:t>
      </w:r>
    </w:p>
    <w:p>
      <w:r>
        <w:rPr>
          <w:b/>
        </w:rPr>
        <w:t>E. 2</w:t>
      </w:r>
    </w:p>
    <w:p>
      <w:r>
        <w:t>Die Haft begann am 14. Mai 2025, 08.15 Uhr. Sie wird in Anwendung von Art. 76 AIG für 30 Tage bis zum 12. Juni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Entscheid vom 30. November 2022 aus der Schweiz und dem Schengen-Raum weg (MI-act. 212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w:t>
      </w:r>
    </w:p>
    <w:p>
      <w:r>
        <w:t>- 3 - D. Der Gesuchsteller beantragte die Bestätigung der Haftanordnung (Protokoll S. 5, act. 27). Der Gesuchsgegner stellte sinngemäss den Antrag auf Nichtbestätigung der Haft (Protokoll S. 3, act. 25).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14. Mai 2025, 08.15 Uhr, angehalten. Die mündliche Verhandlung begann am 15. Mai 2025, 15.35 Uhr; das Urteil wurde um 15.55 Uhr eröffnet. Die richterliche Haftüberprüfung erfolgte somit innerhalb der Frist von 96 Stunden. II. 1. Wurde ein erstinstanzlicher Weg- oder Ausweisungsentscheid eröffnet,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w:t>
      </w:r>
    </w:p>
    <w:p>
      <w:r>
        <w:t>- 4 - 2.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Wegwei- sung entziehen könnte, genügt nicht; deren Vollzug muss erheblich gefährdet erscheinen (vgl. BGE 129 I 139, Erw. 4.2.1). Von einer Untertauchensgefahr und damit von einem Haftgrund ist zudem auch dann auszugehen, wenn das bisherige Verhalten der betroffenen</w:t>
      </w:r>
    </w:p>
    <w:p>
      <w:r>
        <w:t>- 5 -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BOLZL/CONSTAN- TIN HRUSCHKA/FANNY DE WECK [Hrsg.], Kommentar Migrationsrecht,</w:t>
      </w:r>
    </w:p>
    <w:p>
      <w:r>
        <w:rPr>
          <w:b/>
        </w:rPr>
        <w:t>E. 3.2</w:t>
      </w:r>
    </w:p>
    <w:p>
      <w:r>
        <w:t>Nachdem der Gesuchsgegner mehrfach und auch anlässlich der heutigen Verhandlung wiederholt angegeben bzw. zu Protokoll gegeben hat, er werde nicht freiwillig in sein Heimatland zurückkehren und er legal in kein anderes Land ausreisen kann, liegt ein klares Anzeichen dafür vor, dass sich der Gesuchsgegner der Ausschaffung entziehen will (vgl. BGE 130 II 377, Erw. 3.2.2). Damit ist der Haftgrund von Art. 76 Abs. 1 lit. b Ziff. 3 und 4 AIG erfüllt. 4. Bezüglich der Haftbedingungen liegen keine Beanstandungen vor (Protokoll S. 3, act. 25).</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Daran ändert auch nichts, dass der Gesuchsgegner beteuert, er werde sich in der ihm zugewiesenen Unterkunft aufhalten. Aufgrund der unmissverständ- lichen Weigerung zur Ausreise besteht die konkrete Gefahr, dass der Gesuchsgegner untertauchen würde, sobald ihm die Flugdaten bekannt</w:t>
      </w:r>
    </w:p>
    <w:p>
      <w:r>
        <w:t>- 6 - wären. Bezüglich der familiären Verhältnisse ergeben sich keine Anhaltspunkte, welche gegen eine Haftanordnung sprechen würden. Der Gesuchsgegner macht auch nicht geltend, er sei nicht hafterstehungsfähig. Was seine gesundheitlichen Probleme, insbesondere seine Diabetes- erkrankung, angeht, ist festzuhalten, dass der Gesuchsgegner bei Inhaftierung medizinische Betreuung beanspruchen kann und seine Erkrankung kein Grund für eine Nichtbestätigung der Haft darstellt. Dies umso weniger als seine Hafterstehungsfähigkeit geprüft und bejaht wurde (MI-act. 297 ff.). Insgesamt sind keinerlei Gründe ersichtlich, welche die angeordnete Haft als unverhältnismässig erscheinen liessen.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