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WPR.2025.45 vom 12. Mai 2025</w:t>
      </w:r>
    </w:p>
    <w:p>
      <w:r>
        <w:t>AG Verwaltungsgericht, 2025-05-12, DE</w:t>
      </w:r>
    </w:p>
    <w:p>
      <w:r>
        <w:rPr>
          <w:b/>
        </w:rPr>
        <w:t xml:space="preserve">Quelle: </w:t>
      </w:r>
      <w:r>
        <w:t>https://mcp.opencaselaw.ch/entscheid/ag_verwaltungsgericht_WPR.2025.45</w:t>
      </w:r>
    </w:p>
    <w:p>
      <w:r>
        <w:t>FR: AG_VERWALTUNGSGERICHT WPR.2025.45 du 12 mai 2025</w:t>
      </w:r>
    </w:p>
    <w:p>
      <w:r>
        <w:t>IT: AG_VERWALTUNGSGERICHT WPR.2025.45 del 12 maggio 2025</w:t>
      </w:r>
    </w:p>
    <w:p>
      <w:pPr>
        <w:pStyle w:val="Heading2"/>
      </w:pPr>
      <w:r>
        <w:t>Erwägungen</w:t>
      </w:r>
    </w:p>
    <w:p>
      <w:r>
        <w:rPr>
          <w:b/>
        </w:rPr>
        <w:t>E. 2</w:t>
      </w:r>
    </w:p>
    <w:p>
      <w:r>
        <w:t>Die Haft begann am 9. Mai 2025, 16:15 Uhr. Sie wird in Anwendung von Art. 76 AIG für 30 Tage bis zum 8. Juni 2025, 12.00 Uhr,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MIKA eröffnete dem Gesuchsgegner am 8. März 2025 eine Wegwei- sungsverfügung (MI-act. 207 ff.). Damit liegt ein rechtsgenüglicher Weg- 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w:t>
      </w:r>
    </w:p>
    <w:p>
      <w:r>
        <w:t>- 4 - D. Der Gesuchsteller beantragte die Bestätigung der Haftanordnung (Proto- koll S. 3, act. 23). Der Einzelrichter zieht in Erwägung: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9. Mai 2025, 16.15 Uhr, aus der polizeilich motivierten Haft entlassen und dem MIKA zugeführt. Die mündliche Verhandlung begann am 12. Mai 2025, 11.00 Uhr; das Urteil wurde um 11.20 Uhr eröffnet. Die richterliche Haftüberprüfung erfolgte so- mit innerhalb der Frist von 96 Stunden. II. 1. Wurde ein erstinstanzlicher Weg- oder Ausweisungsentscheid eröffnet, kann die zuständige kantonale Behörde die betroffene Person zur Sicher- stellung des Vollzugs in Haft nehmen (Art. 76 AIG). Zuständige kantonale Behörde im Sinne von Art. 76 Abs. 1 AIG ist bei mig- rationsamtlichen Wegweisungen gemäss § 13 Abs. 1 EGAR und bei Lan- desverweisungen gemäss § 89 der Verordnung über den Vollzug von Stra- fen und Massnahmen vom 23. September 2020 (Strafvollzugsverordnung, SMV; SAR 253.112)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w:t>
      </w:r>
    </w:p>
    <w:p>
      <w:r>
        <w:t>- 6 - Bestimmungen als einheitlicher Haftgrund zu betrachten sind (vgl. ANDREAS ZÜND, in: Spescha/Zünd/Bolzl/Hruschka/de Weck [Hrsg.], Kom- mentar Migrationsrecht, 5. Aufl., Zürich 2019, N. 7 zu Art. 76 AIG JANINE SERT, in: Caroni/Thurnherr [Hrsg.], Stämpflis Handkommentar zum Auslän- der- und Integrationsgesetz [AIG], 2. Aufl., Bern 2024, N. 17 zu Art. 76).</w:t>
      </w:r>
    </w:p>
    <w:p>
      <w:r>
        <w:rPr>
          <w:b/>
        </w:rPr>
        <w:t>E. 3.2</w:t>
      </w:r>
    </w:p>
    <w:p>
      <w:r>
        <w:t>Der Gesuchsgegner hat sich mit seiner gefälschten kroatischen Identitäts- karte rechtswidrig als Arbeitnehmer angemeldet (MI-act. 2 ff.) und hier ge- arbeitet. Anlässlich einer Personenkontrolle am 10. Mai 2023 wurden ein gefälschter kroatischer Führerausweis und eine gefälschte kroatische Iden- titätskarte festgestellt (MI-act. 46 ff.). Der Gesuchsgegner ist zudem mehr- fach trotz Einreiseverbot illegal in die Schweiz eingereist (MI-act. 157, 201). Wer sich so verhält und insbesondere eine falsche Identität oder einen ge- fälschten Ausweis verwendet, bietet gemäss ständiger Praxis des Verwal- tungsgerichts keine Gewähr für eine selbständige Ausreise (vgl. Entscheid des Verwaltungsgerichts WPR.2023.21 vom 15. März 2023, Erw. 3.2 mit Verweis auf WPR.2016.49 vom 21. März 2016, Erw. 3.2), womit der Haft- grund von Art. 76 Abs. 1 lit. b Ziff. 3 und 4 AIG erfüllt ist.</w:t>
      </w:r>
    </w:p>
    <w:p>
      <w:r>
        <w:rPr>
          <w:b/>
        </w:rPr>
        <w:t>E. 4</w:t>
      </w:r>
    </w:p>
    <w:p>
      <w:r>
        <w:t>Bezüglich der Haftbedingungen liegen keine Beanstandungen vor (Proto- koll S. 3, act. 23).</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Insgesamt sind keinerlei Gründe ersicht- lich, welche die angeordnete Haft als unverhältnismässig erscheinen lies- sen.</w:t>
      </w:r>
    </w:p>
    <w:p>
      <w:r>
        <w:t>- 7 -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