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WPR.2025.41 vom 29. April 2025</w:t>
      </w:r>
    </w:p>
    <w:p>
      <w:r>
        <w:t>AG Verwaltungsgericht, 2025-04-29, DE</w:t>
      </w:r>
    </w:p>
    <w:p>
      <w:r>
        <w:rPr>
          <w:b/>
        </w:rPr>
        <w:t xml:space="preserve">Quelle: </w:t>
      </w:r>
      <w:r>
        <w:t>https://mcp.opencaselaw.ch/entscheid/ag_verwaltungsgericht_WPR.2025.41</w:t>
      </w:r>
    </w:p>
    <w:p>
      <w:r>
        <w:t>FR: AG_VERWALTUNGSGERICHT WPR.2025.41 du 29 avril 2025</w:t>
      </w:r>
    </w:p>
    <w:p>
      <w:r>
        <w:t>IT: AG_VERWALTUNGSGERICHT WPR.2025.41 del 29 aprile 2025</w:t>
      </w:r>
    </w:p>
    <w:p>
      <w:pPr>
        <w:pStyle w:val="Heading2"/>
      </w:pPr>
      <w:r>
        <w:t>Erwägungen</w:t>
      </w:r>
    </w:p>
    <w:p>
      <w:r>
        <w:rPr>
          <w:b/>
        </w:rPr>
        <w:t>E. 2</w:t>
      </w:r>
    </w:p>
    <w:p>
      <w:r>
        <w:t>Die Haft beginnt am 7. Mai 2025, 08:00 Uhr. Sie wird in Anwendung von Art. 76 AIG für drei Monate bis zum 6. August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Entscheid vom 6. Dezember 2023 aus der Schweiz weg (MI-act. 46 ff., 53). Zudem wurde der Gesuchsgegner mit rechtskräftigem Urteil des Bezirksgerichts Lenzburg vom 27. Juni 2024 für zwölf Jahre des Landes verwiesen (MI-act. 358 ff., 392). Damit liegt nicht nur eine erstinstanzliche, sondern sogar eine rechtskräftige Landesverweisung sowie ein rechts- kräftiger Wegweisungsentscheid vor. Die Voraussetzung von Art. 76 Abs. 1 AIG ist damit erfüllt.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Gefängnis Bässlergut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3, act. 31). Der Gesuchsgegner liess folgende Anträge stellen (Protokoll S. 4, act. 32):</w:t>
      </w:r>
    </w:p>
    <w:p>
      <w:r>
        <w:t>- 4 - 1. Die mit Verfügung vom 28. April 2025 angeordnete Haft per 7. Mai 2025, 08.00 Uhr, bis 6. August 2025, 12.00 Uhr, sei nicht zu bestätigen. Der Gesuchsgegner sei mit sofortiger Wirkung aus der Haft zu entlassen. 2. Der Sprechende sei als amtlicher Rechtsvertreter zu bestätigen und angemessen aus der Staatskasse zu honorieren.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wird der Gesuchsgegner am 7. Mai 2025, 8.00 Uhr, aus dem Strafvollzug entlassen. Die mündliche Verhandlung wurde bereits am 29. April 2025 und damit noch vor Beginn der Ausschaffungshaft durchgeführt, womit die Haftüberprüfungsfrist selbstredend eingehalten ist. II. 1. Wurde ein erstinstanzlicher Weg- oder Ausweisungsentscheid eröffnet oder wurde die betroffene Person mit einer erstinstanzlichen Landesver- weisung belegt, kann die zuständige kantonale Behörde die betroffene Person zur Sicherstellung des Vollzugs in Haft nehmen (Art. 76 AIG). Zuständige kantonale Behörde im Sinne von Art. 76 Abs. 1 AIG ist bei Landesverweisungen gemäss § 89 der Verordnung über den Vollzug von Strafen und Massnahmen vom 23. September 2020 (Strafvollzugs- verordnung, SMV; SAR 253.112) das MIKA. Im vorliegenden Fall wurde die Landesverweisung durch das Bezirksgericht Lenzburg angeordnet, womit der Kanton Aargau diese zu vollziehen hat. Die Haftanordnung wurde durch das MIKA und damit durch die zuständige Behörde erlassen (act. 1 ff.).</w:t>
      </w:r>
    </w:p>
    <w:p>
      <w:r>
        <w:t>- 5 - 2.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w:t>
      </w:r>
    </w:p>
    <w:p>
      <w:r>
        <w:t>- 6 -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Der Gesuchsgegner ist aufgrund des rechtskräftigen Wegweisungs- entscheids des SEM (MI-act. 46 ff.) sowie aufgrund der rechtskräftigen Landesverweisung gemäss Art. 66a StGB (MI-act. 358 ff.) verpflichtet, die Schweiz auf legalem Weg zu verlassen. Dennoch gab der Gesuchsgegner sowohl gegenüber dem MIKA als auch anlässlich der heutigen Verhand- lung vor dem Einzelrichter des Verwaltungsgerichts an, er werde nicht freiwillig in sein Heimatland zurückkehren (MI-act. 491, Protokoll S. 3, act 31). In dieser konsequenten Weigerung, seiner Ausreisepflicht nachzu- kommen, ist ein klares Anzeichen dafür zu erkennen, dass sich der Gesuchsgegner der Ausschaffung entziehen will (vgl. BGE 130 II 377, Erw. 3.2.2). Daran vermögen auch die Vorbringungen des Vertreters des Gesuchsgegners nichts zu ändern, wonach sich der Gesuchsgegner allein deshalb weigere, nach Algerien zurückzukehren, weil ihm nach seiner festen Überzeugung in seinem Heimatland der Tod drohe (vgl. act. 35). So wurden diese Vorbringungen bereits im Rahmen des Asylverfahrens durch das SEM sowie aufgrund der Geltendmachung von Aufschubgründen nach Art. 66d Abs. 1 StGB durch den Rechtsdienst des MIKA geprüft. Beide Behörden qualifizierten die vom Gesuchsgegner vorgebrachten Behaup- tungen als unglaubhaft und sahen keine rechtlichen Hindernisse im Vollzug der Ausschaffung (MI-act. 49 f., 446 f.). Anlässlich der heutigen münd- lichen Verhandlung wurden keine neuen Tatsachen oder Belege vorgebracht, die zu einer anderen Einschätzung als derjenigen des SEM und des Rechtsdiensts des MIKA führen würden. Ferner wird die Untertauchensgefahr des Gesuchsgegners dadurch bestärkt, dass dieser im Rahmen des Asylverfahrens eine falsche Identität benutzt hatte und sich aktuell kategorisch weigert, seiner gesetzlichen</w:t>
      </w:r>
    </w:p>
    <w:p>
      <w:r>
        <w:t>- 7 - Mitwirkungspflicht bei der Papierbeschaffung nachzukommen (MI- act. 13 f., 489). Unter diesen Umständen steht fest, dass der Gesuchsgegner mit seinem bisherigen Verhalten klare Anzeichen für eine Untertauchensgefahr gesetzt hat und es ist nicht davon auszugehen, dass er nach einer Entlassung aus der Haft die Schweiz auf direktem Weg freiwillig in Richtung Algerien verlassen würde. Damit ist der Haftgrund von Art. 76 Abs. 1 lit. b Ziff. 3 und 4 AIG erfüllt.</w:t>
      </w:r>
    </w:p>
    <w:p>
      <w:r>
        <w:rPr>
          <w:b/>
        </w:rPr>
        <w:t>E. 3.2</w:t>
      </w:r>
    </w:p>
    <w:p>
      <w:r>
        <w:t>Weiter stützt das MIKA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 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Bezirksgericht Lenzburg hat den Gesuchsgegner mit Urteil vom 27. Juni 2024 unter anderem wegen gewerbsmässigen Diebstahls nach Art. 139 Ziff. 1 und 3 lit. a StGB rechtskräftig verurteilt (MI-act. 358 ff.). Gewerbsmässiger Diebstahl wird mit einer Freiheitsstrafe von sechs Monaten bis zu zehn Jahren bestraft, weshalb dieser Straftatbestand ein Verbrechen nach Art. 10 Abs. 2 StGB darstellt. 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 Nach dem Gesagten ist der Haftgrund von Art. 76 Abs. 1 lit. b Ziff. 1 i.V.m. Art. 75 Abs. 1 lit. h AIG ebenfalls erfüllt.</w:t>
      </w:r>
    </w:p>
    <w:p>
      <w:r>
        <w:t>- 8 -</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 Damit kann offenbleiben, ob weitere Haftgründe erfüllt sind.</w:t>
      </w:r>
    </w:p>
    <w:p>
      <w:r>
        <w:rPr>
          <w:b/>
        </w:rPr>
        <w:t>E. 4</w:t>
      </w:r>
    </w:p>
    <w:p>
      <w:r>
        <w:t>Da sich der Gesuchsgegner aktuell noch im Strafvollzug befindet, erübrigen sich Ausführungen zu den Haftbedingungen.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da sich der Gesuchsgegner beharrlich weigert, nach Algerien zurückzukehren.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w:t>
      </w:r>
    </w:p>
    <w:p>
      <w:r>
        <w:t>- 9 - 2.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