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WPR.2025.40 vom 19. April 2025</w:t>
      </w:r>
    </w:p>
    <w:p>
      <w:r>
        <w:t>AG Verwaltungsgericht, 2025-04-19, DE</w:t>
      </w:r>
    </w:p>
    <w:p>
      <w:r>
        <w:rPr>
          <w:b/>
        </w:rPr>
        <w:t xml:space="preserve">Quelle: </w:t>
      </w:r>
      <w:r>
        <w:t>https://mcp.opencaselaw.ch/entscheid/ag_verwaltungsgericht_WPR.2025.40</w:t>
      </w:r>
    </w:p>
    <w:p>
      <w:r>
        <w:t>FR: AG_VERWALTUNGSGERICHT WPR.2025.40 du 19 avril 2025</w:t>
      </w:r>
    </w:p>
    <w:p>
      <w:r>
        <w:t>IT: AG_VERWALTUNGSGERICHT WPR.2025.40 del 19 aprile 2025</w:t>
      </w:r>
    </w:p>
    <w:p>
      <w:pPr>
        <w:pStyle w:val="Heading2"/>
      </w:pPr>
      <w:r>
        <w:t>Erwägungen</w:t>
      </w:r>
    </w:p>
    <w:p>
      <w:r>
        <w:rPr>
          <w:b/>
        </w:rPr>
        <w:t>E. 2</w:t>
      </w:r>
    </w:p>
    <w:p>
      <w:r>
        <w:t>Die Haft begann am 18. April 2025, 12:20 Uhr. Sie wird in Anwendung von Art. 76 AIG für 30 Tage bis zum 17. Mai 2025, 12:00 Uhr angeordnet.</w:t>
      </w:r>
    </w:p>
    <w:p>
      <w:r>
        <w:rPr>
          <w:b/>
        </w:rPr>
        <w:t>E. 2.1</w:t>
      </w:r>
    </w:p>
    <w:p>
      <w:r>
        <w:t>Das MIKA begründet seine Haftanordnung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wurde (Art. 76 Abs. 1 AIG). Der Gesuchsgegner wurde mit rechtskräftigem Urteil des Bezirksgerichts Baden vom 28. Januar 2020 für eine Dauer von 15 Jahren des Landes verwiesen (MI-act. 462 ff.). Damit liegt nicht nur eine erstinstanzliche, sondern sogar eine rechtskräftige Landesverweisung vor.</w:t>
      </w:r>
    </w:p>
    <w:p>
      <w:r>
        <w:rPr>
          <w:b/>
        </w:rPr>
        <w:t>E. 2.3</w:t>
      </w:r>
    </w:p>
    <w:p>
      <w:r>
        <w:t>Gemäss Art. 80 Abs. 6 lit. a AIG ist die Haft zu beenden, wenn sich erweist, dass der Vollzug der Wegweisung aus rechtlichen oder tatsächlichen Gründen undurchführbar ist. Es sind keine Anzeichen vorhanden, die an der Ausschaffungsmöglichkeit in tatsächlicher oder rechtlicher Hinsicht Zweifel aufkommen lassen würden.</w:t>
      </w:r>
    </w:p>
    <w:p>
      <w:r>
        <w:t>- 5 -</w:t>
      </w:r>
    </w:p>
    <w:p>
      <w:r>
        <w:rPr>
          <w:b/>
        </w:rPr>
        <w:t>E. 3</w:t>
      </w:r>
    </w:p>
    <w:p>
      <w:r>
        <w:t>Die Haft wird im Zentrum für ausländerrechtliche Administrativhaft Zürich (ZAA) vollzogen. Soweit für die Befragung oder die Durchführung einer Haftverhandlung zwingend, erfolgt die Inhaftierung für die notwendige Dauer im Bezirksgefängnis Aarau. C. Anlässlich der heutigen Verhandlung vor der Einzelrichterin des Verwaltungsgerichts wurden der Gesuchsteller und der Gesuchsgegner befragt. D. Der Gesuchsteller beantragte die Bestätigung der Haftanordnung (Protokoll S. 3, act. 19). Die Einzelrichterin zieht in Erwägung: I. 1. Das angerufene Gericht überprüft die Rechtmässigkeit und Angemes- senheit einer durch das MIKA angeordneten Ausschaffungshaft aufgrund einer mündlichen Verhandlung spätestens nach 96 Stunden (Art. 80 Abs. 2 des Bundesgesetzes über die Ausländerinnen und Ausländer und über die Integration vom 16. Dezember 2005 [Ausländer- und Integrationsgesetz, AIG; SR 142.20], § 6 des Einführungsgesetzes zum Ausländerrecht vom 25. November 2008 [EGAR; SAR 122.600]). Die Haftüberprüfungsfrist beginnt mit der ausländerrechtlich motivierten Anhaltung der betroffenen Person zu laufen (vgl. BGE 127 II 174, Erw. 2. b/aa). 2. Im vorliegenden Fall wurde der Gesuchsgegner am 18. April 2025, 12.20 Uhr, angehalten. Die mündliche Verhandlung begann am 19. April</w:t>
      </w:r>
    </w:p>
    <w:p>
      <w:r>
        <w:t>- 4 - 2025, 12.55 Uhr; das Urteil wurde um 13.10 Uhr eröffnet. Die richterliche Haftüberprüfung erfolgte somit innerhalb der Frist von 96 Stunden. II. 1. Wurde ein erstinstanzlicher Weg- oder Ausweisungsentscheid eröffnet, kann die zuständige kantonale Behörde die betroffene Person zur Sicherstellung des Vollzugs in Haft nehmen (Art. 76 AIG). Zuständige kantonale Behörde im Sinne von Art. 76 Abs. 1 AIG ist bei migrationsamtlichen Wegweisungen gemäss § 13 Abs. 1 EGAR und bei Landesverweisungen gemäss § 89 der Verordnung über den Vollzug von Strafen und Massnahmen vom 23. September 2020 (Strafvollzugsverordnung, SMV; SAR 253.112) das MIKA. Im vorliegenden Fall wurde die Haftanordnung durch das MIKA und damit durch die zuständige Behörde erlassen (act. 1 ff). 2.</w:t>
      </w:r>
    </w:p>
    <w:p>
      <w:r>
        <w:rPr>
          <w:b/>
        </w:rPr>
        <w:t>E. 3.1</w:t>
      </w:r>
    </w:p>
    <w:p>
      <w:r>
        <w:t>Das MIKA stützt seine Haftanordnung auf Art. 76 Abs. 1 lit. b Ziff. 1 in Ver- bindung mit Art. 75 Abs. 1 lit. c AIG, wonach ein Haftgrund dann vorliegt, wenn eine ausländische Person trotz eines Einreiseverbots das Gebiet der Schweiz betritt und nicht sofort weggewiesen werden kann. Auch wenn in Art. 75 Abs. 1 lit. c AIG von einem Einreiseverbot die Rede ist, kann dieser Gesetzesartikel auch auf die Landesverweisung angewendet werden (vgl. MARC BUSSLINGER/PETER UEBERSAX, Härtefallklausel und migrations- rechtliche Auswirkungen der Landesverweisung, in: Plädoyer 5/16, S. 108, wonach in Analogie zur bundesgerichtlichen Rechtsprechung zur alt- rechtlichen Landesverweisung davon auszugehen ist, dass auch die Missachtung der Fernhaltewirkung einer neurechtlichen Landesverweisung den Haftgrund von Art. 75 Abs. 1 lit. c AIG erfüllt). Mit Urteil des Bezirksgerichts Baden vom 28. Januar 2020 wurde der Gesuchsgegner für 15 Jahre des Landes verwiesen (MI-act. 462 ff.). Mit seiner Einreise und seinem Aufenthalt in der Schweiz hat der Gesuchsgegner gegen diese Landesverweisung verstossen. Damit ist der Haftgrund von Art. 76 Abs. 1 lit. b Ziff. 1 in Verbindung mit Art. 75 Abs. 1 lit. c AIG gegeben.</w:t>
      </w:r>
    </w:p>
    <w:p>
      <w:r>
        <w:rPr>
          <w:b/>
        </w:rPr>
        <w:t>E. 3.2</w:t>
      </w:r>
    </w:p>
    <w:p>
      <w:r>
        <w:t>Weiter stützt das MIKA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Abs. 4 des Asylgesetzes vom 26. Juni 1998 (AsylG, SR 142.31) nicht nachkommt. Ob im Sinne dieser Gesetzesbestimmung konkrete Anzeichen befürchten lassen, dass sich eine Person der Ausschaffung entziehen will, ist aufgrund des ganzen bisherigen Verhaltens, insbesondere auch gegenüber den Behörden, sowie ihrer eigenen Aussagen zu beurteilen. Auch wenn einzelne Fakten für sich eine Ausschaffungshaft nicht rechtfertigen, kann dies aufgrund der Gesamtheit der Vorkommnisse der Fall sein. Erforderlich sind gewichtige Anhaltspunkte dafür, dass die betroffene Person sich der Ausschaffung entziehen und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 Person darauf schliessen lässt, dass sie sich behördlichen Anordnungen widersetzt (Art. 76 Abs. 1 lit. b Ziff. 4 AIG).</w:t>
      </w:r>
    </w:p>
    <w:p>
      <w:r>
        <w:t>- 6 - Eine klare Trennung der beiden genannten Haftgründe ist in der Praxis kaum möglich. Vielmehr ist Art. 76 Abs. 1 lit. b Ziff. 4 AIG wohl als Präzisierung von Art. 76 Abs. 1 lit. b Ziff. 3 AIG zu verstehen, womit die beiden Bestimmungen als einheitlicher Haftgrund zu betrachten sind (vgl. ANDREAS ZÜND, in: MARC SPESCHA/ANDREAS ZÜND/PETER BOLZL/CONSTANTIN HRUSCHKA/FANNY DE WECK [Hrsg.], Kommentar Migrationsrecht, 5. Aufl., Zürich 2019, N. 7 zu Art. 76 AIG JANINE SERT, in: MARTINA CARONI/DANIELA THURNHERR [Hrsg.], Stämpflis Handkommentar zum Ausländer- und Integrationsgesetz [AIG], 2. Aufl., Bern 2024, N. 17 zu Art. 76). Der Gesuchsgegner wurde zunächst am 28. Februar 2014 mit einem Einreiseverbot auf unbestimmte Zeit belegt (MI-act. 286 f.). Gegen dieses verstiess er mit seiner Einreise in die Schweiz am 27. Januar 2019 (MI- act. 456). Nachdem er in der Folge für die Dauer von 15 Jahren des Landes verwiesen und erneut in sein Heimatland ausgeschafft wurde (MI- act. 462 ff., 499), reiste er nun wiederum in die Schweiz ein und missachtete dabei wissentlich und willentlich die gegen ihn verhängten Fernhaltemassnahmen. Mit seinem Verhalten brachte der Gesuchsgegner eine erhebliche Renitenz gegenüber den hiesigen Behörden zum Ausdruck. Er bietet damit keine Gewähr, im Falle einer Haftentlassung, selbständig in sein Heimatland zurückzukehren und hat klare Anzeichen für eine Untertauchensgefahr gesetzt, womit der Haftgrund von Art. 76 Abs. 1 lit. b Ziff. 3 und 4 AIG erfüllt ist.</w:t>
      </w:r>
    </w:p>
    <w:p>
      <w:r>
        <w:rPr>
          <w:b/>
        </w:rPr>
        <w:t>E. 3.3</w:t>
      </w:r>
    </w:p>
    <w:p>
      <w:r>
        <w:t>Zusammenfassend steht fest, dass die Haftgründe gemäss Art. 76 Abs. 1 lit. b Ziff. 1 i.V.m. Art. 75 Abs. 1 lit. c AIG (Verstoss gegen Einreiseverbot) sowie gemäss Art. 76 Abs. 1 lit. b Ziff. 3 und Ziff. 4 AIG (Untertauchensgefahr) erfüllt sind.</w:t>
      </w:r>
    </w:p>
    <w:p>
      <w:r>
        <w:rPr>
          <w:b/>
        </w:rPr>
        <w:t>E. 4</w:t>
      </w:r>
    </w:p>
    <w:p>
      <w:r>
        <w:t>Bezüglich der Haftbedingungen liegen keine Beanstandungen vor (Protokoll S. 3, act. 19).</w:t>
      </w:r>
    </w:p>
    <w:p>
      <w:r>
        <w:rPr>
          <w:b/>
        </w:rPr>
        <w:t>E. 5</w:t>
      </w:r>
    </w:p>
    <w:p>
      <w:r>
        <w:t>Es liegen auch keine Anzeichen dafür vor, dass das MIKA dem Beschleunigungsgebot (Art. 76 Abs. 4 AIG) nicht ausreichend Beachtung geschenkt hätte.</w:t>
      </w:r>
    </w:p>
    <w:p>
      <w:r>
        <w:rPr>
          <w:b/>
        </w:rPr>
        <w:t>E. 6</w:t>
      </w:r>
    </w:p>
    <w:p>
      <w:r>
        <w:t>Das MIKA ordnete die Ausschaffungshaft für 30 Tage an. Dies ist nicht zu beanstanden.</w:t>
      </w:r>
    </w:p>
    <w:p>
      <w:r>
        <w:t>- 7 -</w:t>
      </w:r>
    </w:p>
    <w:p>
      <w:r>
        <w:rPr>
          <w:b/>
        </w:rPr>
        <w:t>E. 7</w:t>
      </w:r>
    </w:p>
    <w:p>
      <w:r>
        <w:t>Abschliessend stellt sich die Frage, ob die Haftanordnung deshalb nicht zu bestätigen sei, weil sie im konkreten Fall gegen das Prinzip der Verhältnis- mässigkeit verstossen würde. Eine mildere Massnahme zur Sicherstellung des Vollzugs der Wegweisung ist nicht ersichtlich. Bezüglich der familiären Verhältnisse ergeben sich keine Anhaltspunkte, welche gegen eine Haftanordnung sprechen würden. Der Gesuchsgegner macht auch nicht geltend, er sei nicht hafterstehungsfähig. Insgesamt sind keinerlei Gründe ersichtlich, welche die angeordnete Haft als unverhältnismässig erscheinen liessen. III. Gemäss § 28 Abs. 1 EGAR ist das Verfahren betreffend Haftüberprüfung unentgeltlich. Demgemäss werden keine Kosten erhoben. IV. Der vorliegende Entscheid wurde den Parteien zusammen mit einer kurzen Begründung anlässlich der heutigen Verhandlung mündlich eröffnet. Das Dispositiv wurde den Parteien ausgehändigt. Die Einzelrichterin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