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WPR.2025.38 vom 17. April 2025</w:t>
      </w:r>
    </w:p>
    <w:p>
      <w:r>
        <w:t>AG Verwaltungsgericht, 2025-04-17, DE</w:t>
      </w:r>
    </w:p>
    <w:p>
      <w:r>
        <w:rPr>
          <w:b/>
        </w:rPr>
        <w:t xml:space="preserve">Quelle: </w:t>
      </w:r>
      <w:r>
        <w:t>https://mcp.opencaselaw.ch/entscheid/ag_verwaltungsgericht_WPR.2025.38</w:t>
      </w:r>
    </w:p>
    <w:p>
      <w:r>
        <w:t>FR: AG_VERWALTUNGSGERICHT WPR.2025.38 du 17 avril 2025</w:t>
      </w:r>
    </w:p>
    <w:p>
      <w:r>
        <w:t>IT: AG_VERWALTUNGSGERICHT WPR.2025.38 del 17 aprile 2025</w:t>
      </w:r>
    </w:p>
    <w:p>
      <w:pPr>
        <w:pStyle w:val="Heading2"/>
      </w:pPr>
      <w:r>
        <w:t>Erwägungen</w:t>
      </w:r>
    </w:p>
    <w:p>
      <w:r>
        <w:rPr>
          <w:b/>
        </w:rPr>
        <w:t>E. 2</w:t>
      </w:r>
    </w:p>
    <w:p>
      <w:r>
        <w:t>Die Haft begann am 15. April 2025, 12.00 Uhr. Sie wird in Anwendung von Art. 76 AIG für drei Monate bis zum 14. Juli 2025,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31. März 2023 lehnte das SEM das Asylgesuch des Gesuchsgegners ab und wies ihn aus der Schweiz weg (MI-act. 14 ff.). Die dagegen erhobene Beschwerde wies das Bundesverwaltungsgericht mit Urteil vom 19. Juni 2023 ab (MI-act. 36 ff.), womit der Wegweisungs- entscheid des SEM in Rechtskraft erwachsen ist (MI-act. 53 f.). Da der</w:t>
      </w:r>
    </w:p>
    <w:p>
      <w:r>
        <w:t>- 5 - Wegweisungsentscheid mit der Ausreise des Gesuchsgegners nach Frankreich konsumiert wurde, eröffnete das MIKA dem Gesuchsgegner am 16. April 2025, nach Gewährung des rechtlichen Gehörs, eine neue Wegweisung (MI-act. 208, 213 ff.). Der Gesuchsgegner macht geltend, der Wegweisungsentscheid des MIKA erweise sich als mangelhaft, da dieser weder eine Begründung noch die Ansetzung einer Ausreisefrist enthalte (Protokoll S. 4, act. 30). Der Gesuchsgegner scheint zu verkennen, dass Wegweisungsverfügungen im Rahmen des Haftüberprüfungsverfahrens nicht anfechtbar sind und diese nur dann nicht als Grundlage für eine Ausschaffungshaft dienen können, wenn sie sich als nichtig erweisen (vgl. BGE 130 II 56, Erw. 2; 128 II 193, Erw. 2.2.2; Urteile des Bundesgerichts 2C_724/2016 vom 21. Dezember 2016, Erw. 3.2; 2C_281/2013 vom 26. März 2013, Erw. 3.2.2). Dies ist vorliegend nicht der Fall. Der Gesuchsgegner macht sodann auch nicht geltend, die Wegweisungs- verfügung vom 16. April 2025 sei nichtig. Damit steht fest, dass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Alles unter Kosten- und Entschädigungsfolgen.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EGAR). Die Haftüberprüfungsfrist beginnt mit der</w:t>
      </w:r>
    </w:p>
    <w:p>
      <w:r>
        <w:t>- 4 - ausländerrechtlich motivierten Anhaltung der betroffenen Person zu laufen (vgl. BGE 127 II 174, Erw. 2. b/aa). 2. Im vorliegenden Fall ordnete das MIKA gestützt auf § 12 EGAR per 15. April 2025, 12.00 Uhr, die Festnahme des Gesuchsgegners an, womit sowohl die Haftüberprüfungsfrist als auch die Ausschaffungshaft am 15. April 2025, 12.00 Uhr zu laufen begonnen haben. Die mündliche Verhandlung begann am 17. April 2025, 10.00 Uhr; das Urteil wurde um 10.33 Uhr eröffnet. Die richterliche Haftüberprüfung erfolgte somit innerhalb der Frist von 96 Stunden. II. 1. Wurde ein erstinstanzlicher Weg- oder Ausweisungsentscheid eröffnet oder wurde die betroffene Person mit einer erstinstanzlichen Landesverweisung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- 6 -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war bereits aufgrund der Wegweisungsverfügung des SEM vom 27. Juni 2023 verpflichtet, die Schweiz zu verlassen (MI- act. 53 f.). Danach sprach der Gesuchsgegner zwar immer wieder beim MIKA vor, sei es aus eigener Motivation oder auf entsprechende Vorladung hin (siehe vorne lit. A). Dabei bekundete er seinen angeblichen Willen, freiwillig nach Simbabwe ausreisen zu wollen, er benötige vor der Ausreise jedoch mehr Zeit. In diesem Zusammenhang gab der Gesuchsgegner zunächst an, er könne erst nach den anstehenden Wahlen in Simbabwe in sein Heimatland zurückkehren (MI-act. 66, 85). Später machte der Gesuchsgegner geltend, er benötige für die Organisation seiner Ankunft im Heimatland mehr Zeit (MI-act. 85, 87, 88, 99, 125 f.). Anlässlich der Gewährung des rechtlichen Gehörs durch das MIKA gab der Gesuchsgegner zu Protokoll, er sei nicht bereit, einen Flug nach Simbabwe anzutreten (MI-act. 209). Die anlässlich der heutigen Verhandlung wiederum geäusserte Bereitschaft zur Rückkehr nach Simbabwe, erscheint indessen als unglaubhaft. So bringt der Gesuchsgegner einmal mehr vor, er benötige vor der Ausreise Zeit, um zuerst seinen Bruder bzw. einen Freund seines Bruders zu kontaktieren, damit ihm bei der Organisation für einen neuen Wohnort in einer anderen Provinz geholfen würde (Protokoll S. 3 und 5, act. 29 und 31). Dies hätte der Gesuchsgegner bereits seit Längerem in Angriff nehmen können. Auffällig ist, dass der Gesuchsgegner seine geäusserte Bereitschaft zur freiwilligen Ausreise jeweils von verschiedenen sich wechselnden Umständen abhängig machte, ohne die hierfür von ihm erwähnten notwendigen Schritte, wie die Kontaktaufnahme zu seinem Bruder etc., selbst voranzutreiben. Damit erscheint seine anlässlich der heutigen Verhandlung getätigten Äusserung, freiwillig ausreisen zu wollen, als blosse Schutzbehauptung, um die drohende Ausschaffungshaft abzuwenden. Diese Annahme steht im Einklang mit dem bisherigen Verhalten des Gesuchsgegners, welcher zwar bei der Beschaffung von Ersatzreisedokumente mitwirkte und bei der Botschaft</w:t>
      </w:r>
    </w:p>
    <w:p>
      <w:r>
        <w:t>- 7 - Simbabwes in Genf vorstellig wurde, danach aber die Unterzeichnung des Ersatzreisepapiers verweigerte (MI-act. 184), sich ab dem 28. Oktober 2024 nicht mehr in der ihm zugewiesenen Unterkunft aufhielt und als unbekannten Aufenthalts galt (MI-act. 190). Bei einem bereits zuvor erfolgten Untertauchen ist nach bundesgerichtlicher Rechtsprechung regelmässig von einer weiter bestehenden Untertauchensgefahr auszugehen (BGE 140 II 1, Erw. 5.3). In dieser insgesamt konsequenten Weigerung, seiner Ausreisepflicht nachzukommen, ist ein klares Anzeichen dafür zu erkennen, dass sich der Gesuchsgegner der Ausschaffung entziehen will (vgl. BGE 130 II 377, Erw. 3.2.2). Damit ist der Haftgrund von Art. 76 Abs. 1 lit. b Ziff. 3 und 4 AIG erfüllt.</w:t>
      </w:r>
    </w:p>
    <w:p>
      <w:r>
        <w:rPr>
          <w:b/>
        </w:rPr>
        <w:t>E. 3.2</w:t>
      </w:r>
    </w:p>
    <w:p>
      <w:r>
        <w:t>Nachdem bereits ein Haftgrund vorliegt, kann offenbleiben, ob auch der Haftgrund gemäss Art. 76 Abs. 1 lit. b Ziff. 1 AIG i.V.m. Art. 75 Abs. 1 lit. b AIG erfüllt ist. Anzumerken ist einzig, dass die Ausreise aus der Schweiz kaum als Verstoss gegen eine Rayonauflage qualifiziert werden kann.</w:t>
      </w:r>
    </w:p>
    <w:p>
      <w:r>
        <w:rPr>
          <w:b/>
        </w:rPr>
        <w:t>E. 3.3</w:t>
      </w:r>
    </w:p>
    <w:p>
      <w:r>
        <w:t>Zusammenfassend steht fest, dass der Haftgrund gemäss Art. 76 Abs. 1 lit. b Ziff. 3 und Ziff. 4 AIG (Untertauchensgefahr) erfüllt ist.</w:t>
      </w:r>
    </w:p>
    <w:p>
      <w:r>
        <w:rPr>
          <w:b/>
        </w:rPr>
        <w:t>E. 4</w:t>
      </w:r>
    </w:p>
    <w:p>
      <w:r>
        <w:t>Bezüglich der Haftbedingungen liegen keine Beanstandungen vor (Protokoll S. 5, act. 31).</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w:t>
      </w:r>
    </w:p>
    <w:p>
      <w:r>
        <w:t>- 8 -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substanziiert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