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WPR.2025.35 vom 10. April 2025</w:t>
      </w:r>
    </w:p>
    <w:p>
      <w:r>
        <w:t>AG Verwaltungsgericht, 2025-04-10, DE</w:t>
      </w:r>
    </w:p>
    <w:p>
      <w:r>
        <w:rPr>
          <w:b/>
        </w:rPr>
        <w:t xml:space="preserve">Quelle: </w:t>
      </w:r>
      <w:r>
        <w:t>https://mcp.opencaselaw.ch/entscheid/ag_verwaltungsgericht_WPR.2025.35</w:t>
      </w:r>
    </w:p>
    <w:p>
      <w:r>
        <w:t>FR: AG_VERWALTUNGSGERICHT WPR.2025.35 du 10 avril 2025</w:t>
      </w:r>
    </w:p>
    <w:p>
      <w:r>
        <w:t>IT: AG_VERWALTUNGSGERICHT WPR.2025.35 del 10 aprile 2025</w:t>
      </w:r>
    </w:p>
    <w:p>
      <w:pPr>
        <w:pStyle w:val="Heading2"/>
      </w:pPr>
      <w:r>
        <w:t>Erwägungen</w:t>
      </w:r>
    </w:p>
    <w:p>
      <w:r>
        <w:rPr>
          <w:b/>
        </w:rPr>
        <w:t>E. 2</w:t>
      </w:r>
    </w:p>
    <w:p>
      <w:r>
        <w:t>Die Haft begann am 9. April 2025, 09:00 Uhr. Sie wird in Anwendung von Art. 76 AIG für drei Monate bis zum 8. Juli 2025,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SEM wies den Gesuchsgegner mit mittlerweile rechtskräftigem Entscheid vom 10. März 2022 aus der Schweiz weg (MI-act. 54 ff., 111). Zudem wurde der Gesuchsgegner mit rechtskräftigem Urteil des Bundesstrafgerichts vom 13. November 2024 für zehn Jahre des Landes verwiesen (MI-act. 22 ff., 229). Damit liegt nicht nur eine erstinstanzliche, sondern sogar eine rechtskräftige Landesverweisung sowie ein rechtskräftiger Wegweisungsentscheid vor. Die Voraussetzung von Art. 76 Abs. 1 AIG ist damit erfüllt.</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w:t>
      </w:r>
    </w:p>
    <w:p>
      <w:r>
        <w:rPr>
          <w:b/>
        </w:rPr>
        <w:t>E. 3</w:t>
      </w:r>
    </w:p>
    <w:p>
      <w:r>
        <w:t>Anzumerken bleibt, dass selbst wenn die durch das Bundesstrafgericht angeordnete Sicherheitshaft unzulässig gewesen wäre, dies keine Auswirkung auf die hier zu überprüfende Ausschaffungshaft hat. Die behauptete Unzulässigkeit der Sicherheitshaft ist gegenüber dem Bundesstrafgericht bzw. in einem entsprechenden Haftungsprozess geltend zu machen. Das Verwaltungsgericht ist hierfür nicht zuständig. II. 1. Gemäss Art. 74 Abs. 1 lit. gbis des Bundesgesetzes über die Organisation der Strafbehörden des Bundes (Strafbehördenorganisationsgesetz, StBOG, SR 173.71) sind die Kantone für den Vollzug von Landesver- weisungen zuständig, die von den Strafbehörden des Bundes angeordnet wurden. Die Strafbehörde des Bundes bestimmt gemäss Art. 74 Abs. 2 StBOG in Anwendung der Artikel 31 bis 36 der Schweizerischen Straf- prozessordnung (Strafprozessordnung, StPO, SR 312.0) im Entscheid, welcher Kanton für den Vollzug zuständig ist. Das Bundesstrafgericht hat mit Urteil vom 13. November 2024 den Kanton Aargau als Vollzugskanton für die Landesverweisung des Gesuchsgegners bestimmt (MI-act. 23). Wurde ein erstinstanzlicher Weg- oder Ausweisungsentscheid eröffnet oder wurde die betroffene Person mit einer erstinstanzlichen Landesver- weisung belegt, kann die zuständige kantonale Behörde die betroffene Person zur Sicherstellung des Vollzugs in Haft nehmen (Art. 76 AIG). Zuständige kantonale Behörde im Sinne von Art. 76 Abs. 1 AIG ist bei migrationsamtlichen Wegweisungen gemäss § 13 Abs. 1 EGAR und bei Landesverweisungen gemäss § 89 der Verordnung über den Vollzug von Strafen und Massnahmen vom 23. September 2020 (Strafvollzugs- verordnung, SMV; SAR 253.112) das MIKA. Im vorliegenden Fall wurde die</w:t>
      </w:r>
    </w:p>
    <w:p>
      <w:r>
        <w:t>- 6 -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w:t>
      </w:r>
    </w:p>
    <w:p>
      <w:r>
        <w:t>- 7 -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JANINE SERT, in: MARTINA CARONI/DANIELA THURNHERR [Hrsg.], Stämpflis Handkommentar zum Ausländer- und Integrationsgesetz [AIG], 2. Aufl., Bern 2024, N. 17 zu Art. 76). Der Gesuchsgegner ist aufgrund des rechtskräftigen Wegweisungs- entscheids des SEM (MI-act. 54 ff.) sowie aufgrund der rechtskräftigen Landesverweisung gemäss Art. 66a StGB (MI-act. 22 ff.) verpflichtet, die Schweiz auf legalem Weg zu verlassen. Dennoch gab der Gesuchsgegner wiederholt an, er werde nicht freiwillig in sein Heimatland zurückkehren, er wolle aus der Haft entlassen werden und die Schweiz selbständig verlassen (MI-act. 221, 549). Auch anlässlich der heutigen Verhandlung vor dem Einzelrichter des Verwaltungsgerichts gab der Gesuchsgegner an, er wolle die Schweiz verlassen, weigere sich jedoch nach Algerien zurückzukehren (Protokoll S. 3, act. 29). Indes konnte er keine gültigen Papiere vorlegen, die ihm erlauben würden, auf legale Weise die Schweiz in ein anderes Land als seinen Heimatstaat zu verlassen und bestätigte, dass er keine Reisedokumente besitze (Protokoll S. 3, act. 29). In dieser konsequenten Weigerung seiner Ausreisepflicht nachzukommen, ist ein klares Anzeichen dafür zu erkennen, dass sich der Gesuchsgegner der Ausschaffung entziehen will (vgl. BGE 130 II 377, Erw. 3.2.2). Damit ist der Haftgrund von Art. 76 Abs. 1 lit. b Ziff. 3 und 4 AIG erfüllt.</w:t>
      </w:r>
    </w:p>
    <w:p>
      <w:r>
        <w:rPr>
          <w:b/>
        </w:rPr>
        <w:t>E. 3.2</w:t>
      </w:r>
    </w:p>
    <w:p>
      <w:r>
        <w:t>Weiter stützt das MIKA seine Haftanordnung auf Art. 76 Abs. 1 lit. b Ziff. 1 i.V.m. Art. 75 Abs. 1 lit. i AIG, wonach eine Person in Haft genommen werden kann, wenn sie gemäss Erkenntnissen des Bundesamtes für</w:t>
      </w:r>
    </w:p>
    <w:p>
      <w:r>
        <w:t>- 8 - Polizei (fedpol) oder des Nachrichtendienstes des Bundes (NDB) die innere oder äussere Sicherheit der Schweiz gefährdet. Aufgrund vorgenommener Handlungen und Äusserungen des Gesuchs- gegners sowie in Erwägung der gesamten Erkenntnislage kam das fedpol wiederholt und letztmals am 23. Februar 2025 zum Schluss, dass der Gesuchsgegner die innere und äussere Sicherheit der Schweiz gefährdet (MI-act. 162 ff., 166 ff., 483 ff.). Somit ist der Haftgrund von Art. 76 Abs. 1 lit. b Ziff. 1 i.V.m. Art. 75 Abs. 1 lit. i AIG ebenfalls erfüllt.</w:t>
      </w:r>
    </w:p>
    <w:p>
      <w:r>
        <w:rPr>
          <w:b/>
        </w:rPr>
        <w:t>E. 3.3</w:t>
      </w:r>
    </w:p>
    <w:p>
      <w:r>
        <w:t>Zusammenfassend steht fest, dass die Haftgründe gemäss Art. 76 Abs. 1 lit. b Ziff. 3 und Ziff. 4 AIG (Untertauchensgefahr) sowie gemäss Art. 76 Abs. 1 lit. b Ziff. 1 i.V.m. Art. 75 Abs. 1 lit. i AIG (Gefährdung der inneren oder äusseren Sicherheit) erfüllt sind. Damit kann offenbleiben, ob weitere Haftgründe erfüllt sind.</w:t>
      </w:r>
    </w:p>
    <w:p>
      <w:r>
        <w:rPr>
          <w:b/>
        </w:rPr>
        <w:t>E. 4</w:t>
      </w:r>
    </w:p>
    <w:p>
      <w:r>
        <w:t>Bezüglich der Haftbedingungen liegen keine Beanstandungen vor (Protokoll S. 3, act. 29).</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Haftanordnung sprechen würden. Der Gesuchsgegner macht auch nicht geltend, er sei nicht hafterstehungsfähig und führt auch sonst</w:t>
      </w:r>
    </w:p>
    <w:p>
      <w:r>
        <w:t>- 9 - nicht aus, inwiefern die Haft unverhältnismässig wäre. Insgesamt sind keinerlei Gründe ersichtlich, welche die angeordnete Haft als unverhältnis- 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 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w:t>
      </w:r>
    </w:p>
    <w:p>
      <w:r>
        <w:t>- 10 -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