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WPR.2025.34 vom 10. April 2025</w:t>
      </w:r>
    </w:p>
    <w:p>
      <w:r>
        <w:t>AG Verwaltungsgericht, 2025-04-10, DE</w:t>
      </w:r>
    </w:p>
    <w:p>
      <w:r>
        <w:rPr>
          <w:b/>
        </w:rPr>
        <w:t xml:space="preserve">Quelle: </w:t>
      </w:r>
      <w:r>
        <w:t>https://mcp.opencaselaw.ch/entscheid/ag_verwaltungsgericht_WPR.2025.34</w:t>
      </w:r>
    </w:p>
    <w:p>
      <w:r>
        <w:t>FR: AG_VERWALTUNGSGERICHT WPR.2025.34 du 10 avril 2025</w:t>
      </w:r>
    </w:p>
    <w:p>
      <w:r>
        <w:t>IT: AG_VERWALTUNGSGERICHT WPR.2025.34 del 10 aprile 2025</w:t>
      </w:r>
    </w:p>
    <w:p>
      <w:pPr>
        <w:pStyle w:val="Heading2"/>
      </w:pPr>
      <w:r>
        <w:t>Erwägungen</w:t>
      </w:r>
    </w:p>
    <w:p>
      <w:r>
        <w:rPr>
          <w:b/>
        </w:rPr>
        <w:t>E. 2</w:t>
      </w:r>
    </w:p>
    <w:p>
      <w:r>
        <w:t>Die Haft begann am 7. April 2025, 08:00 Uhr. Sie wird in Anwendung von Art. 76 AIG für 30 Tage bis zum 6. Mai 2025,12.00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eröffnete dem Gesuchsgegner am 8. April 2025 eine Wegweisungsverfügung (MI-act. 72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(ZAA) der im Gefängnis Bässlergut Basel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3, act. 23).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7. April 2025, 8.00 Uhr, angehalten. Mit Einverständnis des Gesuchsgegners wurde die Haft im Rahmen einer Befragung via Videotelefonie überprüft. Die Verhandlung begann am 10. April 2025, 11.00 Uhr; das Urteil wurde um 11.25 Uhr eröffnet. Die richterliche Haftüberprüfung erfolgte somit innerhalb der Frist von 96 Stunden.</w:t>
      </w:r>
    </w:p>
    <w:p>
      <w:r>
        <w:t>- 4 -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sowie § 89 der Verordnung über den Vollzug von Strafen und Massnahmen vom 23. September 2020 (Strafvollzugsverord- 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w:t>
      </w:r>
    </w:p>
    <w:p>
      <w:r>
        <w:t>- 5 -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BOLZL/CONSTANTIN HRUSCHKA/FANNY DE WECK [Hrsg.], Kommentar Migrationsrecht, 5. Aufl., Zürich 2019, N. 7 zu Art. 76 AIG JANINE SERT, in: MARTINA CARONI/DANIELA THURNHERR [Hrsg.], Stämpflis Handkommentar zum Ausländer- und Integrationsgesetz [AIG], 2. Aufl., Bern 2024, N. 17 zu Art. 76).</w:t>
      </w:r>
    </w:p>
    <w:p>
      <w:r>
        <w:rPr>
          <w:b/>
        </w:rPr>
        <w:t>E. 3.2</w:t>
      </w:r>
    </w:p>
    <w:p>
      <w:r>
        <w:t>Der Gesuchsgegner hat sich anlässlich einer Personenkontrolle auf einer Baustelle als Arbeitnehmer am 7. April 2025 mit einer gefälschten italienischen Identitätskarte ausgewiesen (MI-act. 46 ff.). Wer sich so verhält und insbesondere eine falsche Identität oder einen gefälschten Ausweis verwendet und zudem mit Hilfe dieses Ausweises illegal einer Erwerbstätigkeit nachgeht, bietet gemäss ständiger Praxis des Verwaltungsgerichts keine Gewähr für eine selbständige Ausreise (vgl. Entscheid des Verwaltungsgerichts WPR.2023.21 vom 15. März 2023, Erw. 3.2 mit Verweis auf WPR.2016.49 vom 21. März 2016, Erw. 3.2), womit der Haftgrund von Art. 76 Abs. 1 lit. b Ziff. 3 und 4 AIG erfüllt ist.</w:t>
      </w:r>
    </w:p>
    <w:p>
      <w:r>
        <w:rPr>
          <w:b/>
        </w:rPr>
        <w:t>E. 4</w:t>
      </w:r>
    </w:p>
    <w:p>
      <w:r>
        <w:t>Bezüglich der Haftbedingungen liegen keine Beanstandungen vor (Protokoll S. 3, act. 23).</w:t>
      </w:r>
    </w:p>
    <w:p>
      <w:r>
        <w:t>- 6 -</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30 Tage an. Dies ist nicht zu beanstanden.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im Anschluss an die Verhandlung per E-Mail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