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WPR.2025.32 vom 29. März 2025</w:t>
      </w:r>
    </w:p>
    <w:p>
      <w:r>
        <w:t>AG Verwaltungsgericht, 2025-03-29, DE</w:t>
      </w:r>
    </w:p>
    <w:p>
      <w:r>
        <w:rPr>
          <w:b/>
        </w:rPr>
        <w:t xml:space="preserve">Quelle: </w:t>
      </w:r>
      <w:r>
        <w:t>https://mcp.opencaselaw.ch/entscheid/ag_verwaltungsgericht_WPR.2025.32</w:t>
      </w:r>
    </w:p>
    <w:p>
      <w:r>
        <w:t>FR: AG_VERWALTUNGSGERICHT WPR.2025.32 du 29 mars 2025</w:t>
      </w:r>
    </w:p>
    <w:p>
      <w:r>
        <w:t>IT: AG_VERWALTUNGSGERICHT WPR.2025.32 del 29 marzo 2025</w:t>
      </w:r>
    </w:p>
    <w:p>
      <w:pPr>
        <w:pStyle w:val="Heading2"/>
      </w:pPr>
      <w:r>
        <w:t>Regeste</w:t>
      </w:r>
    </w:p>
    <w:p>
      <w:r>
        <w:t>Beginn des Fristenlaufs für die Haftüberprüfung gemäss Art. 80 Abs. 2 AIG sowie für die maximale Dauer der Administrativhaft gemäss Art. 79 AIG (Erw. I/2). Die Haftüberprüfungsfrist beginnt mit der ausländerrechtlich motivierten Anhaltung der betroffenen Person zu laufen (Erw. I/1). Von einer ausländerrechtlich motivierten Anhaltung ist dann auszugehen, wenn die betroffene Person nur deshalb in Gewahrsam genommen wird, damit sie den zuständigen Migrationsbehörden zugeführt werden kann (Erw. I/2.2). Bezweckt die Festnahme hingegen die Untersuchung oder Sanktionierung einer Straftat (inklusive ausländerrechtlichem Nebenstrafrecht), ist die Haft strafrechtlich motiviert (Erw. I/2.3.1). Dies ist insbesondere dann der Fall, wenn die betroffene Person nach der vorläufigen Festnahme der Staatsanwaltschaft zugeführt wird (Erw. I/2.4). Stellt sich im Rahmen der Untersuchung heraus, dass die polizeilichen Untersuchungshandlungen unbegründet waren, liegt von Anfang an eine ausländerrechtlich motivierte Anhaltung vor (Erw. I/2.3.2). Gehen die Migrationsbehörden von einer strafrechtlich motivierten Haft aus, haben sie dies zu beweisen (Erw. I/2.3.3). Bestehen berechtigte Zweifel, dass strafrechtliche Motive der Festnahme zugrunde liegen, ist zugunsten der betroffenen Person von einer rein migrationsrechtlichen Motivation auszugehen (Erw. I/2.1).</w:t>
      </w:r>
    </w:p>
    <w:p>
      <w:pPr>
        <w:pStyle w:val="Heading2"/>
      </w:pPr>
      <w:r>
        <w:t>Erwägungen</w:t>
      </w:r>
    </w:p>
    <w:p>
      <w:r>
        <w:rPr>
          <w:b/>
        </w:rPr>
        <w:t>E. 2</w:t>
      </w:r>
    </w:p>
    <w:p>
      <w:r>
        <w:t>Die Haft begann am 27. März 2025, 10.15 Uhr. Sie wird in Anwendung von Art. 76 AIG für drei Monate bis zum 26. Juni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hat das Asylgesuch des Gesuchsgegners mit Entscheid vom</w:t>
      </w:r>
    </w:p>
    <w:p>
      <w:r>
        <w:rPr>
          <w:b/>
        </w:rPr>
        <w:t>E. 2.3</w:t>
      </w:r>
    </w:p>
    <w:p>
      <w:r>
        <w:t>Gemäss Art. 80 Abs. 6 lit. a AIG ist die Haft zu beenden, wenn sich erweist, dass der Vollzug der Wegweisung aus rechtlichen oder tatsächlichen Grün- den undurchführbar ist.</w:t>
      </w:r>
    </w:p>
    <w:p>
      <w:r>
        <w:t>- 10 - Es sind keine Anzeichen vorhanden, die an der Ausschaffungsmöglichkeit in tatsächlicher oder rechtlicher Hinsicht Zweifel aufkommen lassen wür- den. 3.</w:t>
      </w:r>
    </w:p>
    <w:p>
      <w:r>
        <w:rPr>
          <w:b/>
        </w:rPr>
        <w:t>E. 2.3.1</w:t>
      </w:r>
    </w:p>
    <w:p>
      <w:r>
        <w:t>Anders sieht es aus, wenn die Festnahme der betroffenen Person nicht im Auftrag der Migrationsbehörden erfolgt, sondern im Rahmen einer polizei- lichen Anhaltung gemäss Art. 215 der Schweizerischen Strafprozessord- nung (Strafprozessordnung, StPO; SR 312.0) mit anschliessender vorläu- figen Festnahme gemäss Art. 217 StPO beziehungsweise einer direkten vorläufigen Festnahme ohne vorgängige Anhaltung. In diesem Fall handelt es sich grundsätzlich um eine strafrechtlich motivierte Anhaltung bezie- hungsweise Festnahme. Die Haftüberprüfungsfrist beginnt dabei erst nach Beendigung der vorläufigen Festnahme zu laufen, wobei dieser Zeitpunkt auch als Beginn der Administrativhaft gilt (sofern im Anschluss keine kurz- fristige Festhaltung gemäss Art. 73 AIG angeordnet wird und die Voraus- setzungen dafür erfüllt sind).</w:t>
      </w:r>
    </w:p>
    <w:p>
      <w:r>
        <w:rPr>
          <w:b/>
        </w:rPr>
        <w:t>E. 2.3.2</w:t>
      </w:r>
    </w:p>
    <w:p>
      <w:r>
        <w:t>Stellt sich jedoch der Tatverdacht, welcher zur Anhaltung und vorläufigen Festnahme geführt hat, im Rahmen der Untersuchung als unbegründet her- aus, ist die Haft rückwirkend als migrationsrechtlich motiviert zu</w:t>
      </w:r>
    </w:p>
    <w:p>
      <w:r>
        <w:t>- 6 - qualifizieren. In diesem Fall ist sowohl für die Haftüberprüfungsfrist als auch für den Beginn der Administrativhaft der Zeitpunkt der Festnahme massge- blich.</w:t>
      </w:r>
    </w:p>
    <w:p>
      <w:r>
        <w:rPr>
          <w:b/>
        </w:rPr>
        <w:t>E. 2.3.3</w:t>
      </w:r>
    </w:p>
    <w:p>
      <w:r>
        <w:t>Gehen die Migrationsbehörden davon aus, die Haftüberprüfungsfrist bezie- hungsweise die Administrativhaft habe nicht mit der polizeilichen Anhaltung oder Festnahme begonnen, haben sie zu beweisen, dass die Haft straf- rechtlich motiviert war, beziehungsweise, dass die Festnahme zwecks Un- tersuchung und oder Sanktionierung einer Straftat angeordnet wurde und dass sich der Tatverdacht verwirklicht hat.</w:t>
      </w:r>
    </w:p>
    <w:p>
      <w:r>
        <w:rPr>
          <w:b/>
        </w:rPr>
        <w:t>E. 2.4</w:t>
      </w:r>
    </w:p>
    <w:p>
      <w:r>
        <w:t>Wird die betroffene Person von der Polizei vorläufig festgenommen (Art. 217 StPO) und im Anschluss gemäss Art. 219 Abs. 3 StPO der Staats- anwaltschaft überstellt, welche das Verfahren an die Hand nimmt, handelt es sich um eine strafrechtlich motivierte Festnahme. Die Haftüberprüfungs- frist beginnt dabei erst mit der Entlassung der betroffenen Person durch die Staatsanwaltschaft, wobei dieser Zeitpunkt auch als Beginn der Administ- rativhaft gilt (sofern im Anschluss keine kurzfristige Festhaltung gemäss Art. 73 AIG angeordnet wird und die Voraussetzungen dafür erfüllt sind). Auch in diesem Fall gilt, dass die Migrationsbehörden die strafrechtliche Motivation der Haft zu beweisen haben. Konkret ist darzulegen, dass die betroffene Person der Staatsanwaltschaft zugeführt wurde und diese den Fall an die Hand genommen hat. Dies gilt insbesondere als erwiesen, wenn die Staatsanwaltschaft beim zuständigen Zwangsmassnahmengericht eine Untersuchungshaft beantragt oder ein Strafbefehl erlassen hat. Zudem ha- ben die Migrationsbehörden den Entlassungszeitpunkt durch Vorlage einer Verfügung oder sonstiger einschlägiger Dokumente (Mitteilung der Staats- anwaltschaft, Polizeirapport etc.) zu belegen.</w:t>
      </w:r>
    </w:p>
    <w:p>
      <w:r>
        <w:rPr>
          <w:b/>
        </w:rPr>
        <w:t>E. 3</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AIG, § 6 des Einführungsgesetzes zum Ausländerrecht vom 25. November 2008 [EGAR; SAR 122.600]). Die Haftüberprüfungsfrist beginnt mit der auslän- derrechtlich motivierten Anhaltung der betroffenen Person zu laufen (vgl. BGE 127 II 174, Erw. 2. b/aa).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 immungen als einheitlicher Haftgrund zu betrachten sind (vgl. ANDREAS ZÜND, in: Spescha / Zünd / Bolzli / Hruschka / de Weck [Hrsg.], Kommentar Migrationsrecht, 5. Aufl., Zürich 2019, N. 7 zu Art. 76 AIG; JANINE SERT, in: Caroni / Thurnherr [Hrsg.], Stämpflis Handkommentar zum Ausländer- und Integrationsgesetz [AIG], 2. Aufl., Bern 2024, N. 17 zu Art. 76).</w:t>
      </w:r>
    </w:p>
    <w:p>
      <w:r>
        <w:rPr>
          <w:b/>
        </w:rPr>
        <w:t>E. 3.2</w:t>
      </w:r>
    </w:p>
    <w:p>
      <w:r>
        <w:t>Der Gesuchsgegner ist aufgrund des rechtskräftigen Wegweisungsent- scheides dazu verpflichtet, die Schweiz zu verlassen (MI-act. 82 ff.). Das SEM setzte dem Gesuchsgegner bereits nach Urteil des Bundesver- waltungsgericht vom 7. Mai 2024 (MI-act. 46 ff.) eine Ausreisefrist bis zum</w:t>
      </w:r>
    </w:p>
    <w:p>
      <w:r>
        <w:rPr>
          <w:b/>
        </w:rPr>
        <w:t>E. 3.3</w:t>
      </w:r>
    </w:p>
    <w:p>
      <w:r>
        <w:t>Im vorliegenden Fall wurde der Gesuchsgegner am 26. März 2025, 10.50 Uhr, von der Kantonspolizei Zürich angehalten, wobei dies gemäss obigen Ausführungen als massgeblicher Zeitpunkt für das Laufen der Haft- überprüfungsfrist gilt. Die mündliche Verhandlung begann am 28. März 2025, 15.35 Uhr; das Ur- teil wurde um 16.30 Uhr eröffnet. Die richterliche Haftüberprüfung erfolgte somit innerhalb der Frist von 96 Stunden.</w:t>
      </w:r>
    </w:p>
    <w:p>
      <w:r>
        <w:rPr>
          <w:b/>
        </w:rPr>
        <w:t>E. 4</w:t>
      </w:r>
    </w:p>
    <w:p>
      <w:r>
        <w:t>Hinsichtlich der Haftdauer ist Folgendes anzumerken: Entsprechend den Ausführungen in Erwägung I/3.2 ist vorliegend ab der Anhaltung des Ge- suchsgegners von einer ausländerrechtlich motivierten Festnahme auszu- gehen. Da die Zürcher Migrationsbehörden im Anschluss an die Entlassung aus der Haft eine kurzfristige Festhaltung gestützt auf Art. 73 AIG angeordnet haben, wäre die Dauer dieser kurzfristigen Festhaltung gemäss Art. 73 Abs. 6 AIG grundsätzlich nicht an die Haftdauer der Ausschaffungshaft an- zurechnen. Dies ist vorliegend aber unbeachtlich, da keiner der mit Art. 73 Abs. 1 AIG abschliessend normierten Festhaltegründe (vgl. oben Erw. I/2.2) erfüllt war und sich die Anordnung der kurzfristigen Festhaltung damit als unzulässig erweist. Die Ausschaffungshaft begann somit bereits am 26. März 2025, 10.50 Uhr zu laufen. II. 1. Wurde ein erstinstanzlicher Weg- oder Ausweisungsentscheid eröffnet oder wurde die betroffene Person mit einer erstinstanzlichen Landesverweisung belegt, kann die zuständige kantonale Behörde die betroffene Person zur Sicherstellung des Vollzugs in Haft nehmen (Art. 76 AIG). Zuständige kantonale Behörde im Sinne von Art. 76 Abs. 1 AIG ist bei mig- rationsamtlichen Wegweisungen gemäss § 13 Abs. 1 EGAR und bei Lan- desverweisungen gemäss § 89 der Verordnung über den Vollzug von Stra- fen und Massnahmen vom 23. September 2020 (Strafvollzugsverordnung, SMV; SAR 253.112) das MIKA. Im vorliegenden Fall wurde die Haftanord- nung durch das MIKA und damit durch die zuständige Behörde erlassen (act. 1 ff.).</w:t>
      </w:r>
    </w:p>
    <w:p>
      <w:r>
        <w:t>- 9 - 2.</w:t>
      </w:r>
    </w:p>
    <w:p>
      <w:r>
        <w:rPr>
          <w:b/>
        </w:rPr>
        <w:t>E. 8</w:t>
      </w:r>
    </w:p>
    <w:p>
      <w:r>
        <w:t>März 2024 abgewiesen, wies diesen sogleich aus der Schweiz weg und ordnete an, er habe die Schweiz sowie den Schengen-Raum nach Eintritt der Rechtskraft des Entscheides zu verlassen (MI-act. 28 ff.). Die gegen diesen Entscheid erhobene Beschwerde wies das Bundesverwaltungsge- richt mit Urteil vom 7. Mai 2024 ebenfalls ab (MI-act. 46 ff.). In der Folge setzte das SEM dem Gesuchsgegner mit Schreiben vom 15. Mai 2024 eine neue Ausreisefrist bis zum 11. Juni 2024 an, um die Schweiz zu verlassen (MI-act. 42). Auf ein am 30. Oktober 2024 eingereichtes Mehrfachgesuch des Gesuchs- gegners trat das SEM mit Verfügung vom 28. Februar 2025 nicht ein (MI- act. 82 ff.). Diese Verfügung erwuchs am 10. März 2025 unangefochten in Rechtskraft, womit der Gesuchsgegner die Schweiz bis zum 11. März 2025 zu verlassen hatte (MI-act. 89 f.). Die Vorbringen des Gesuchsgegners, dass er von der neu angesetzten Ausreisefrist nichts gewusst habe, greifen ins Leere. Der Gesuchsgegner wurde bereits mit Urteil des Bundesverwaltungsgerichts vom 7. Mai 2024 darüber in Kenntnis gesetzt, dass er die Schweiz zu verlassen hatte (MI- act. 46 ff.). Die Ausreisefrist bis zum 11. Juni 2025 liess der Gesuchsgeg- ner jedoch bewusst verstreichen und galt seit dem 1. Juni 2025 als unbe- kannten Aufenthalts (MI-act. 71 ff.). Da der Gesuchsgegner an der heutigen Verhandlung zu Protokoll gegeben hat, dass er über den Nichteintretens- entscheid vom 28. Februar 2025 informiert worden war (Protokoll S. 3, act. 29), hätte er ab Zeitpunkt der Kenntnisnahme davon ausgehen müs- sen, dass er die Schweiz zu verlassen hat. Damit liegt ein rechtskräftiger Wegweisungsentscheid vor, welcher dem Gesuchsgegner rechtsgenüglich eröffnet wurde.</w:t>
      </w:r>
    </w:p>
    <w:p>
      <w:r>
        <w:rPr>
          <w:b/>
        </w:rPr>
        <w:t>E. 11</w:t>
      </w:r>
    </w:p>
    <w:p>
      <w:r>
        <w:t>Juni 2024, um die Schweiz zu verlassen (MI-act. 42). Diese Ausreise- frist liess der Gesuchsgegner jedoch bewusst verstreichen und galt seit dem 1. Juni 2025 als unbekannten Aufenthalts (MI-act. 71 ff.). Bei einem</w:t>
      </w:r>
    </w:p>
    <w:p>
      <w:r>
        <w:t>- 11 - bereits zuvor erfolgten Untertauchen ist nach bundesgerichtlicher Recht- sprechung regelmässig von einer weiter bestehenden Untertauchensge- fahr auszugehen (BGE 140 II 1, Erw. 5.3). Ausserdem gab der Gesuchsgegner im Rahmen des Ausreisegesprächs und bei der Gewährung des rechtlichen Gehörs an, die Schweiz nicht frei- willig in Richtung der Türkei verlassen zu wollen (MI-act. 107, MI-act. 110). Damit liegen weitere klare Anzeichen für das Vorliegen einer Untertau- chensgefahr vor. Es ist deshalb davon auszugehen, dass sich der Gesuchsgegner nach ei- ner Entlassung aus der Ausschaffungshaft der Ausschaffung entziehen würde. Damit ist der Haftgrund von Art. 76 Abs. 1 lit. b Ziff. 3 und 4 AIG er- füllt. 4. Bezüglich der Haftbedingungen liegen keine Beanstandungen vor (Proto- koll S. 4, act. 30). 5. Es liegen auch keine Anzeichen dafür vor, dass das MIKA dem Beschleu- 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 lich zu vollziehen. Sollte das MIKA entgegen seiner bisherigen Gewohnheit das Beschleunigungsgebot verletzen, besteht die Möglichkeit, ein Haftent- lassungsgesuch zu stellen. 7. Abschliessend stellt sich die Frage, ob die Haftanordnung deshalb nicht zu bestätigen sei, weil sie im konkreten Fall gegen das Prinzip der Verhältnis- mässigkeit verstossen würde. Eine mildere Massnahme zur Sicherstellung des Vollzugs der Wegweisung ist aufgrund der bestehenden Untertau- chensgefahr nicht ersichtlich. Bezüglich der familiären Verhältnisse erge- ben sich keine Anhaltspunkte, welche gegen eine Haftanordnung sprechen würden. Der Gesuchsgegner macht auch nicht geltend, er sei nicht hafter- stehungsfähig und führt auch sonst nicht aus, inwiefern die Haft unverhält- nismässig wäre. Insgesamt sind keinerlei Gründe ersichtlich, welche die angeordnete Haft als unverhältnismässig erscheinen liessen.</w:t>
      </w:r>
    </w:p>
    <w:p>
      <w:r>
        <w:t>- 12 -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Verhandlung via Videotelefonie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