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WPR.2025.25 vom 12. März 2025</w:t>
      </w:r>
    </w:p>
    <w:p>
      <w:r>
        <w:t>AG Verwaltungsgericht, 2025-03-12, DE</w:t>
      </w:r>
    </w:p>
    <w:p>
      <w:r>
        <w:rPr>
          <w:b/>
        </w:rPr>
        <w:t xml:space="preserve">Quelle: </w:t>
      </w:r>
      <w:r>
        <w:t>https://mcp.opencaselaw.ch/entscheid/ag_verwaltungsgericht_WPR.2025.25</w:t>
      </w:r>
    </w:p>
    <w:p>
      <w:r>
        <w:t>FR: AG_VERWALTUNGSGERICHT WPR.2025.25 du 12 mars 2025</w:t>
      </w:r>
    </w:p>
    <w:p>
      <w:r>
        <w:t>IT: AG_VERWALTUNGSGERICHT WPR.2025.25 del 12 marzo 2025</w:t>
      </w:r>
    </w:p>
    <w:p>
      <w:pPr>
        <w:pStyle w:val="Heading2"/>
      </w:pPr>
      <w:r>
        <w:t>Erwägungen</w:t>
      </w:r>
    </w:p>
    <w:p>
      <w:r>
        <w:rPr>
          <w:b/>
        </w:rPr>
        <w:t>E. 2</w:t>
      </w:r>
    </w:p>
    <w:p>
      <w:r>
        <w:t>Es sei die Bestellung des amtlichen Rechtsvertreters für den Gesuchsgegner zu bestätigen.</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Wie bereits mit Urteil betreffend Anordnung der Ausschaffungshaft vom 16. Dezember 2024 festgestellt wurde, liegt mit dem Urteil des Obergerichts des Kantons Aargau vom 19. August 2020 (MI-act. 135 ff.) nicht nur eine erstinstanzliche, sondern sogar eine rechtskräftige Landesverweisung gegen den Gesuchsgegner vor, welche noch nicht vollzogen wurde (WPR.2024.120, Erw. II/2.2; MI-act. 289).</w:t>
      </w:r>
    </w:p>
    <w:p>
      <w:r>
        <w:rPr>
          <w:b/>
        </w:rPr>
        <w:t>E. 2.3</w:t>
      </w:r>
    </w:p>
    <w:p>
      <w:r>
        <w:t>Gemäss Art. 80 Abs. 6 lit. a AIG ist die Haft zu beenden, wenn sich erweist, dass der Vollzug der Wegweisung aus rechtlichen oder tatsächlichen Gründen undurchführbar ist. Die Wegweisung des Gesuchsgegners kann aktuell nach wie vor nicht vollzogen werden, da der Gesuchsgegner gemäss Verfügung des Bundesverwaltungsgerichts vom 17. September 2024 den weiterhin hängigen Ausgang des Asylbeschwerdeverfahrens in der Schweiz abwarten darf (vgl. MI-act. 219 ff.). Auf Nachfrage des MIKA konnte das Bundesverwaltungsgericht am 10. März 2025 noch keinen genauen Urteilszeitpunkt nennen (MI-act. 335). Der Vertreter des Gesuchsgegners bringt entsprechend vor, es sei nicht mit einem baldigen Abschluss des Asylbeschwerdeverfahrens zu rechnen, weshalb die Wegweisung des</w:t>
      </w:r>
    </w:p>
    <w:p>
      <w:r>
        <w:t>- 6 - Gesuchsgegners nicht alsbald vollzogen werden könne (Protokoll, S. 3 f., act. 23 f.). Wie bereits mit Urteil betreffend Anordnung der Ausschaffungs- haft vom 16. Dezember 2024 festgestellt wurde, rechtfertigt sich eine Haftentlassung wegen undurchführbarem Vollzug indes nur dann, wenn keine oder bloss eine höchst unwahrscheinliche, rein theoretische Möglichkeit besteht, die Wegweisung zu vollziehen (BGE 147 II 49, Erw. 2.2.3, WPR.2024.120, Erw. II/2.3; MI-act. 290). Aufgrund der gegen den Gesuchsgegner angeordneten, rechtskräftigen obligatorischen Landesverweisung wäre eine rechtliche Undurchführbarkeit des Vollzugs der Wegweisung nur bei Vorliegen von Aufschubgründen nach Art. 66d Abs. 1 StGB denkbar. Es liegen jedoch weiterhin zumindest keine offensichtlichen Hinweise vor, die darauf schliessen lassen würden, der Gesuchsgegner könne aufgrund einer allfälligen Flüchtlingseigenschaft und des Umstandes, dass durch die Landesverweisung sein Leben oder seine Freiheit wegen seiner Rasse, Religion, Nationalität, Zugehörigkeit zu einer bestimmten sozialen Gruppe oder seiner politischen Anschauungen gefährdet wäre, nicht in sein Heimatstaat ausgeschafft werden. Des Weiteren hat das Bundesverwaltungsgericht Kenntnis davon, dass sich der Gesuchsgegner in Ausschaffungshaft befindet und wird sich daher wohl bemühen, das den Gesuchsgegner betreffende Asylbeschwerdeverfahren beförderlich zu behandeln (vgl. MI-act. 335). Vor diesem Hintergrund ist weiterhin nicht mit einer Verfahrensdauer zu rechnen, welche die Zulässigkeit einer Haftanordnung in Frage stellen würde. Weitere Anzeichen, die an der Ausschaffungsmöglichkeit in rechtlicher oder tatsächlicher Hinsicht Zweifel aufkommen lassen würden, sind ebenfalls keine ersichtlich.</w:t>
      </w:r>
    </w:p>
    <w:p>
      <w:r>
        <w:rPr>
          <w:b/>
        </w:rPr>
        <w:t>E. 3</w:t>
      </w:r>
    </w:p>
    <w:p>
      <w:r>
        <w:t>Die mit Urteil vom 16. Dezember 2024 festgestellten Haftgründe nach Art. 76 Abs. 1 lit. b Ziff. 1 i.V.m. Art. 75 Abs. 1 lit. h AIG (Verurteilung wegen eines Verbrechens) sowie Art. 76 Abs. 1 lit. b Ziff. 1 AIG i.V.m. Art. 75 Abs. 1 lit. g AIG (Bedrohung und Gefährdung an Leib und Leben) bestehen nach wie vor (vgl. WPR.2024.120, Erw. II/3.1 ff.; MI-act. 291 f.). Damit kann weiterhin offenbleiben, ob darüber hinaus auch der Haftgrund von Art. 76 Abs. 1 lit. b Ziff. 3 AIG vorliegt.</w:t>
      </w:r>
    </w:p>
    <w:p>
      <w:r>
        <w:rPr>
          <w:b/>
        </w:rPr>
        <w:t>E. 4</w:t>
      </w:r>
    </w:p>
    <w:p>
      <w:r>
        <w:t>Bezüglich der Haftbedingungen liegen keine Beanstandungen vor (Protokoll S. 3, act. 23).</w:t>
      </w:r>
    </w:p>
    <w:p>
      <w:r>
        <w:rPr>
          <w:b/>
        </w:rPr>
        <w:t>E. 5</w:t>
      </w:r>
    </w:p>
    <w:p>
      <w:r>
        <w:t>Es liegen auch keine Anzeichen dafür vor, dass das MIKA dem Beschleunigungsgebot (Art. 76 Abs. 4 AIG) nicht ausreichend Beachtung geschenkt hätte.</w:t>
      </w:r>
    </w:p>
    <w:p>
      <w:r>
        <w:t>- 7 -</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drei Monaten in ausländerrechtlicher Haft im Sinne von Art. 75 – 78 AIG (Ausschaffungshaft 22. Dezember 2024 – 21. März 2025). Die sechsmonatige Frist wird damit am 21. Juni 2025 enden und die Haft kann längstens bis zum 21. Juni 2026 verlängert werden.</w:t>
      </w:r>
    </w:p>
    <w:p>
      <w:r>
        <w:rPr>
          <w:b/>
        </w:rPr>
        <w:t>E. 6.3</w:t>
      </w:r>
    </w:p>
    <w:p>
      <w:r>
        <w:t>Das MIKA ordnete die Verlängerung der Ausschaffungshaft um weitere drei Monate, d.h. bis zum 21. Juni 2025,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Der Gesuchsgegner hat sich bisher kategorisch geweigert, in sein Heimatland zurückzukehren (MI-act. 80, 251, 327). Es ist demnach nicht davon auszugehen, dass er sich im Falle einer Haftentlassung den Behörden zur</w:t>
      </w:r>
    </w:p>
    <w:p>
      <w:r>
        <w:t>- 8 - Verfügung halten würde. Spätestens bei einem allfälligen Negativentscheid des Bundesverwaltungsgerichts ist damit zu rechnen, dass sich der Gesuchsgegner dem Zugriff der Behörden und damit seiner Ausschaffung entziehen würde.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Insgesamt sind keinerlei Gründe ersichtlich, welche die Verlängerung der Haft als unverhältnismässig erscheinen liessen. III. 1. Gemäss § 28 Abs. 1 EGAR ist das Verfahren betreffend Haftüberprüfung unentgeltlich. Demgemäss werden keine Kosten erhoben. 2. Der mit Urteil vom 16. Dezember 2024 bestätigte amtliche Rechtsvertreter bleibt im Amt und kann seine Kostennote im Rahmen des Verfahrens WPR.2024.120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anwesenden Parteien ausgehändigt und den per Videotelefonie zugeschalteten Parteien im Anschluss an die Verhandlung per IncaMail zugestellt.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