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WPR.2025.114 vom 1. Dezember 2025</w:t>
      </w:r>
    </w:p>
    <w:p>
      <w:r>
        <w:t>AG Verwaltungsgericht, 2025-12-01, DE</w:t>
      </w:r>
    </w:p>
    <w:p>
      <w:r>
        <w:rPr>
          <w:b/>
        </w:rPr>
        <w:t xml:space="preserve">Quelle: </w:t>
      </w:r>
      <w:r>
        <w:t>https://mcp.opencaselaw.ch/entscheid/ag_verwaltungsgericht_WPR.2025.114</w:t>
      </w:r>
    </w:p>
    <w:p>
      <w:r>
        <w:t>FR: AG_VERWALTUNGSGERICHT WPR.2025.114 du 1 décembre 2025</w:t>
      </w:r>
    </w:p>
    <w:p>
      <w:r>
        <w:t>IT: AG_VERWALTUNGSGERICHT WPR.2025.114 del 1 dicembre 2025</w:t>
      </w:r>
    </w:p>
    <w:p>
      <w:pPr>
        <w:pStyle w:val="Heading2"/>
      </w:pPr>
      <w:r>
        <w:t>Erwägungen</w:t>
      </w:r>
    </w:p>
    <w:p>
      <w:r>
        <w:rPr>
          <w:b/>
        </w:rPr>
        <w:t>E. 2</w:t>
      </w:r>
    </w:p>
    <w:p>
      <w:r>
        <w:t>Die Haft begann am 30. November 2025, 14:19 Uhr [richtig: 15:19 Uhr]. Sie wird in Anwendung von Art. 76 AIG für drei Monate bis zum 28. Februar 2026,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Gegen den Gesuchsgegner wurden mit Urteil des Bezirksgerichts Laufenburg vom 18. April 2024 (MI-act. 60 ff.) und mit Urteil des Bezirksgerichts Aarau vom 14. Oktober 2024 (MI-act. 130 ff.) zwei Landesverweisungen von acht bzw. 20 Jahren verfügt. Beide Urteile sind in Rechtskraft erwachsen. Zudem lehnte das SEM mit Entscheid vom 29. November 2024 das Asylgesuch des Gesuchsgegners ab und wies ihn aus der Schweiz weg (MI-act. 122 ff.). Dieser Entscheid ist am 11. Dezember 2024 in Rechtskraft erwachsen (MI-act. 154 f.). Damit liegen ein rechtsgenüglicher Wegweisungsentscheid und zwei erstinstanzliche Landesverweisungen vor.</w:t>
      </w:r>
    </w:p>
    <w:p>
      <w:r>
        <w:rPr>
          <w:b/>
        </w:rPr>
        <w:t>E. 2.3</w:t>
      </w:r>
    </w:p>
    <w:p>
      <w:r>
        <w:t>Gemäss Art. 80 Abs. 6 lit. a AIG ist die Haft zu beenden, wenn sich erweist, dass der Vollzug der Wegweisung aus rechtlichen oder tatsächlichen Gründen undurchführbar ist. Der Vertreter des Gesuchsgegners bringt vor, es sei aufgrund der persönlichen Situation und der ergangenen Gefängnistrafen höchst ungewiss, ob und wann ein Ersatzreisedokument ausgestellt werde</w:t>
      </w:r>
    </w:p>
    <w:p>
      <w:r>
        <w:t>- 6 - (act. 36). Zudem seien Rückschaffungen nach Algerien gegen den Willen der betroffenen Person auch mit Sonderflügen nicht vollziehbar (act. 37). Zum Ersatzreisedokument ist festzuhalten, dass bei algerischen Staatsangehörigen für die Beschaffung eines Ersatzreisedokuments zuerst die Teilnahme an einem Counseling mit den algerischen Behörden erforderlich ist. Das MIKA geht jedoch davon aus, dass der Gesuchsgegner im Januar oder Februar 2026 an einem Counseling-Gespräch teilnehmen kann. Ebenso haben sich entgegen der Auffassung des Vertreters des Gesuchsgegners die Rückführungsmöglichkeiten nach Algerien in den letzten Jahren wesentlich verbessert und es werden regelmässig begleitete Flüge durchgeführt (Protokoll S. 6, act. 44). Dementsprechend ist zum aktuellen Zeitpunkt nicht von einer tatsächlichen Unmöglichkeit des Wegweisungsvollzugs auszugehen. Weitere Anzeichen, die an der Ausschaffungsmöglichkeit in tatsächlicher oder rechtlicher Hinsicht Zweifel aufkommen lassen würden, sind ebenfalls keine ersichtlich. 3.</w:t>
      </w:r>
    </w:p>
    <w:p>
      <w:r>
        <w:rPr>
          <w:b/>
        </w:rPr>
        <w:t>E. 3</w:t>
      </w:r>
    </w:p>
    <w:p>
      <w:r>
        <w:t>Eventuell sei die Haftentlassung mit Auflagen zu verbinden.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w:t>
      </w:r>
    </w:p>
    <w:p>
      <w:r>
        <w:t>- 7 - beiden Bestimmungen als einheitlicher Haftgrund zu betrachten sind (vgl. ANDREAS ZÜND, in: Spescha/Zünd/Bolzli/Hruschka/de Weck [Hrsg.], Kommentar Migrationsrecht, 5. Aufl., Zürich 2019, N. 7 zu Art. 76 AIG; JANINE SERT, in: Caroni/Thurnherr [Hrsg.], Stämpflis Handkommentar zum Ausländer- und Integrationsgesetz [AIG], 2. Aufl., Bern 2024, N. 17 zu Art. 76).</w:t>
      </w:r>
    </w:p>
    <w:p>
      <w:r>
        <w:rPr>
          <w:b/>
        </w:rPr>
        <w:t>E. 3.2</w:t>
      </w:r>
    </w:p>
    <w:p>
      <w:r>
        <w:t>Der Gesuchsgegner ist aufgrund des rechtskräftigen Wegweisungs- entscheids des SEM (MI-act. 122 ff.) sowie aufgrund der zwei rechtskräftigen Landesverweisungen gemäss Art. 66a StGB (MI-act. 60 ff. und 130 ff.) verpflichtet, die Schweiz auf legalem Weg zu verlassen. Dennoch erklärte er bereits anlässlich des Ausreisegesprächs am</w:t>
      </w:r>
    </w:p>
    <w:p>
      <w:r>
        <w:rPr>
          <w:b/>
        </w:rPr>
        <w:t>E. 3.3</w:t>
      </w:r>
    </w:p>
    <w:p>
      <w:r>
        <w:t>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(ANDREAS ZÜND, a.a.O., N. 12 zu Art. 75 AIG). Das Bezirksgericht Laufenburg hat den Gesuchsgegner mit Urteil vom 18. April 2024 wegen mehrfachen, teilweise versuchten Diebstahls, Hausfriedensbruchs, geringfügigen Diebstahls sowie rechtwidriger Einreise und rechtswidrigen Aufenthalts zu einer Freiheitsstrafe von neun Monaten</w:t>
      </w:r>
    </w:p>
    <w:p>
      <w:r>
        <w:t>- 8 - rechtskräftig verurteilt (MI-act. 60 ff.). Mit Urteil vom 14. Oktober 2024 verurteilte das Bezirksgericht Aarau den Gesuchsgegner rechtskräftig wegen mehrfachen, teilweise versuchten Diebstahls, Hausfriedensbruchs sowie Verweisungsbruchs zu einer Freiheitsstrafe von zwölf Monaten (MI- act. 130 ff.). Diebstahl wird mit einer Freiheitsstrafe bis zu fünf Jahren oder Geldstrafe geahndet und stellt somit ein Verbrechen dar. Damit wurde der Gesuchsgegner zwei Mal rechtskräftig wegen eines Verbrechens verurteilt. Somit ist der Haftgrund von Art. 76 Abs. 1 lit. b Ziff. 1 i.V.m. Art. 75 Abs. 1 lit. h AIG ebenfalls erfüllt. 4. Bezüglich der Haftbedingungen liegen keine Beanstandungen vor, die geeignet wären, die Haft als unverhältnismässig zu bezeichnen. Der Gesuchsgegner bringt zwar vor, es befinde sich noch ein Metallteil in seinem Körper nach einer vorgängigen Operation und er müsse ein weiteres Mal in der Schweiz operiert werden, erläutert jedoch nicht, inwiefern er deswegen nicht hafterstehungsfähig sei (Protokoll S. 4 f., act. 42 f.).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und sein Vertreter machen zwar geltend, dass die Hafterstehungsfähigkeit des Gesuchsgegners wegen möglicher gesundheitlicher Probleme als Folge einer Operation an der Hüfte fraglich sei. Sie konnten jedoch weder die medizinische Notwendigkeit einer etwaigen Operation zur Behebung dieser</w:t>
      </w:r>
    </w:p>
    <w:p>
      <w:r>
        <w:t>- 9 - gesundheitlichen Probleme noch die fehlende Hafterstehungsfähigkeit weiter begründen (Protokoll S. 3 ff.; act. 42 f). Da sich auch aus den Akten keine Hinweise ergeben, welche gegen die Hafterstehungsfähigkeit des Gesuchsgegners sprechen, ist zum jetzigen Zeitpunkt nichts Gegenteiliges anzunehmen. Dennoch wird das MIKA angewiesen, die Hafterstehungs- fähigkeit des Gesuchsgegners zu prüfen. Demnach sind insgesamt keine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r>
        <w:rPr>
          <w:b/>
        </w:rPr>
        <w:t>E. 4</w:t>
      </w:r>
    </w:p>
    <w:p>
      <w:r>
        <w:t>Unter Kosten- und Entschädigungsfolgen.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30. November 2025, 15.19 Uhr, angehalten (act. 32). Die mündliche Verhandlung begann am 1. Dezember 2025, 13.30 Uhr; das Urteil wurde um 14.05 Uhr eröffnet. Die richterliche Haftüberprüfung erfolgte somit innerhalb der Frist von 96 Stunden.</w:t>
      </w:r>
    </w:p>
    <w:p>
      <w:r>
        <w:t>- 5 -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 rationsamtlichen Wegweisungen gemäss § 13 Abs. 1 EGAR und bei Lan- desverweisungen gemäss § 89 der Verordnung über den Vollzug von Stra- fen und Massnahmen vom 23. September 2020 (Strafvollzugsverordnung, SMV; SAR 253.112) das MIKA. Im vorliegenden Fall wurde die Haftanord- nung durch das MIKA und damit durch die zuständige Behörde erlassen (act. 1 ff.). 2.</w:t>
      </w:r>
    </w:p>
    <w:p>
      <w:r>
        <w:rPr>
          <w:b/>
        </w:rPr>
        <w:t>E. 8</w:t>
      </w:r>
    </w:p>
    <w:p>
      <w:r>
        <w:t>Januar 2025, dass er nicht zu einer freiwilligen Ausreise in sein Heimatland bereit sei (MI-act. 162 ff.) Auch anlässlich der Befragung zur Gewährung des rechtlichen Gehörs vom 30. November 2025 wie auch an der heutigen Verhandlung wiederholte der Gesuchsgegner, nicht zur freiwilligen Ausreise nach Algerien bereit zu sein (MI-act. 245; Protokoll S. 3, act. 41). Hinzu kommt, dass der Gesuchsgegner einmal untergetaucht war (MI-act. 198) und darüber hinaus gemäss eigener Aussage aus Angst vor der Ausschaffungshaft aus dem Straffvollzug geflüchtet ist (MI-act. 243). Die von seinem Vertreter vorgebrachte Bereitschaft, nach Frankreich auszureisen (act. 36), ändert daran nichts, zumal er keine gültigen Papiere bzw. eine Aufenthaltsbewilligung vorlegen kann, die ihm eine legale Ausreise nach Frankreich erlauben würden. Mit seiner stetigen Weigerung zur Ausreise und der Flucht aus dem Strafvollzug setzte der Gesuchsgegner klare Anzeichen für eine Untertauchensgefahr, und es ist nicht davon auszugehen, dass er die Schweiz nach einer Entlassung aus der Ausschaffungshaft freiwillig in Richtung Algerien verlassen würde. Damit ist der Haftgrund von Art. 76 Abs. 1 lit. b Ziff. 3 und 4 AIG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