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WPR.2025.112 vom 26. November 2025</w:t>
      </w:r>
    </w:p>
    <w:p>
      <w:r>
        <w:t>AG Verwaltungsgericht, 2025-11-26, DE</w:t>
      </w:r>
    </w:p>
    <w:p>
      <w:r>
        <w:rPr>
          <w:b/>
        </w:rPr>
        <w:t xml:space="preserve">Quelle: </w:t>
      </w:r>
      <w:r>
        <w:t>https://mcp.opencaselaw.ch/entscheid/ag_verwaltungsgericht_WPR.2025.112</w:t>
      </w:r>
    </w:p>
    <w:p>
      <w:r>
        <w:t>FR: AG_VERWALTUNGSGERICHT WPR.2025.112 du 26 novembre 2025</w:t>
      </w:r>
    </w:p>
    <w:p>
      <w:r>
        <w:t>IT: AG_VERWALTUNGSGERICHT WPR.2025.112 del 26 novembre 2025</w:t>
      </w:r>
    </w:p>
    <w:p>
      <w:pPr>
        <w:pStyle w:val="Heading2"/>
      </w:pPr>
      <w:r>
        <w:t>Erwägungen</w:t>
      </w:r>
    </w:p>
    <w:p>
      <w:r>
        <w:rPr>
          <w:b/>
        </w:rPr>
        <w:t>E. 2</w:t>
      </w:r>
    </w:p>
    <w:p>
      <w:r>
        <w:t>Die Haft begann am 23. November 2025, 15.05 Uhr. Sie wird in Anwendung von Art. 76 AIG für drei Monate bis zum 22. Februar 2026,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10. März 2017 lehnte das SEM das Asylgesuch des Gesuchsgegners ab und wies ihn aus der Schweiz weg (MI-act. 58 ff.). Dieser Entscheid erwuchs am 9. Juni 2017 in Rechtskraft (MI-act. 111). Auch das Mehrfachasylgesuch des Gesuchsgegner lehnte das SEM am 24. Dezember 2018 ab und wies ihn erneut aus der Schweiz weg (MI- act. 142 ff.). Die dagegen erhobene Beschwerde wies das Bundes- verwaltungsgericht mit Urteil D-642/2019 vom 8. Februar 2022 ab (MI- act. 162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w:t>
      </w:r>
    </w:p>
    <w:p>
      <w:r>
        <w:rPr>
          <w:b/>
        </w:rPr>
        <w:t>E. 3</w:t>
      </w:r>
    </w:p>
    <w:p>
      <w:r>
        <w:t>Eventuell sei als Ersatzmassnahme dem Gesuchsgegner die Auflage zu erteilen, sich regelmässig bei einer richterlich zu bestimmenden Amtsstelle zu melden.</w:t>
      </w:r>
    </w:p>
    <w:p>
      <w:r>
        <w:t>- 4 -</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w:t>
      </w:r>
    </w:p>
    <w:p>
      <w:r>
        <w:t>- 6 -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Spescha/Zünd/Bolzli/Hruschka/de Weck [Hrsg.], Kommentar Migrationsrecht, 5. Aufl. 2019, N. 7 zu Art. 76 AIG; JANINE SERT, in: Caroni/Thurnherr [Hrsg.], Stämpflis Handkommentar zum Ausländer- und Integrationsgesetz [AIG], 2. Aufl. 2024, N. 17 zu Art. 76).</w:t>
      </w:r>
    </w:p>
    <w:p>
      <w:r>
        <w:rPr>
          <w:b/>
        </w:rPr>
        <w:t>E. 3.2</w:t>
      </w:r>
    </w:p>
    <w:p>
      <w:r>
        <w:t>In der Vergangenheit bekundete der Gesuchsgegner zwar, er sei zur Ausreise nach Sri Lanka bereit, verweigerte jedoch am 3. Juni 2018 den Rückflug (MI-act. 107). Anlässlich der Befragung zur Gewährung des rechtlichen Gehörs vom 24. November 2025 wie auch an der heutigen Verhandlung, erklärte sich der Gesuchsgegner sodann nicht zur freiwilligen Rückreise in sein Heimatland bereit (MI-act. 212; Protokoll S. 3, act. 39). Mit seiner Weigerung setzte der Gesuchsgegner damit klare Anzeichen für eine Untertauchensgefahr, und es ist nicht davon auszugehen, dass er die Schweiz nach einer Entlassung aus der Ausschaffungshaft freiwillig in Richtung Sri Lanka verlassen würde. Hinzu kommt, dass der Gesuchsgegner ab dem 3. Juni 2017 und ab dem 16. März 2022 nach der Neuansetzung der Ausreisefrist durch das SEM mehrere Jahre als unbekannten Aufenthalts galt (MI-act. 110, 193). Seine anlässlich der heutigen Verhandlung vorgebrachte Rechtfertigung, sein ehemaliger Rechtsvertreter habe ihm geraten, sich ruhig zu verhalten, weswegen er auch keine medizinische Behandlung in Anspruch genom- men habe, vermag nicht zu überzeugen (Protokoll S. 3, act. 39). Vielmehr zeigt das Verhalten des Gesuchsgegners, dass er sich bewusst war, illegal in der Schweiz anwesend zu sein. Auch dies zeigt, dass er nicht bereit ist, behördlichen Anordnungen Folge zu leisten und in Bezug auf seine Ausreise zu kooperieren. Damit ist der Haftgrund von Art. 76 Abs. 1 lit. b Ziff. 3 und 4 AIG erfüllt ist.</w:t>
      </w:r>
    </w:p>
    <w:p>
      <w:r>
        <w:rPr>
          <w:b/>
        </w:rPr>
        <w:t>E. 4</w:t>
      </w:r>
    </w:p>
    <w:p>
      <w:r>
        <w:t>Bezüglich der Haftbedingungen liegen keine Beanstandungen vor (Protokoll S. 4, act. 40).</w:t>
      </w:r>
    </w:p>
    <w:p>
      <w:r>
        <w:t>- 7 -</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Abgesehen davon, dass es dem Einzelrichter ohnehin verwehrt ist, anstelle der Haftbestätigung eine Ersatzmassnahme anzuordnen, ist dem Eventualantrag des Vertreters des Gesuchsgegners, wonach sich der Gesuchsgegner regelmässig bei einer richterlich zu bestimmenden Amtsstelle zu melden habe, nicht zu folgen. Da der Gesuchsgegner bereits mehrere Jahre als unbekannten Aufenthalts galt, ist damit zu rechnen, dass er erneut untertauchen würde, sobald ein Flugdatum feststehen würde. Die Anordnung einer Meldepflicht stellt damit keine taugliche mildere Massnahme zur Sicherstellung des Vollzugs der Wegweisung dar. Bezüglich der familiären Verhältnisse ergeben sich keine Anhaltspunkte, welche gegen eine Haftanordnung sprechen würden. Der Gesuchsgegner macht auch nicht geltend, er sei nicht hafterstehungsfähig und führt auch sonst nicht aus, inwiefern die Haft unverhältnismässig wäre.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w:t>
      </w:r>
    </w:p>
    <w:p>
      <w:r>
        <w:t>- 8 -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 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