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WPR.2025.11 vom 31. Januar 2025</w:t>
      </w:r>
    </w:p>
    <w:p>
      <w:r>
        <w:t>AG Verwaltungsgericht, 2025-01-31, DE</w:t>
      </w:r>
    </w:p>
    <w:p>
      <w:r>
        <w:rPr>
          <w:b/>
        </w:rPr>
        <w:t xml:space="preserve">Quelle: </w:t>
      </w:r>
      <w:r>
        <w:t>https://mcp.opencaselaw.ch/entscheid/ag_verwaltungsgericht_WPR.2025.11</w:t>
      </w:r>
    </w:p>
    <w:p>
      <w:r>
        <w:t>FR: AG_VERWALTUNGSGERICHT WPR.2025.11 du 31 janvier 2025</w:t>
      </w:r>
    </w:p>
    <w:p>
      <w:r>
        <w:t>IT: AG_VERWALTUNGSGERICHT WPR.2025.11 del 31 gennaio 2025</w:t>
      </w:r>
    </w:p>
    <w:p>
      <w:pPr>
        <w:pStyle w:val="Heading2"/>
      </w:pPr>
      <w:r>
        <w:t>Erwägungen</w:t>
      </w:r>
    </w:p>
    <w:p>
      <w:r>
        <w:rPr>
          <w:b/>
        </w:rPr>
        <w:t>E. 2</w:t>
      </w:r>
    </w:p>
    <w:p>
      <w:r>
        <w:t>Die Haft begann am 28. Januar 2025, 07.00 Uhr. Sie wird in Anwendung von Art. 76 AIG für drei Monate bis zum 27. April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18. April 2024 lehnte das SEM das Asylgesuch des Gesuchsgegners ab und wies ihn aus der Schweiz und dem Schengen- Raum weg (MI-act. 12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Der Gesuchsgegner hat anlässlich der heutigen Verhandlung vorgebracht, es bestehe im Falle seiner Rückkehr in die Türkei eine Gefahr an Leib und Leben (Protokoll S. 3, act. 35). Sowohl das SEM mit Entscheid vom 14. April 2024 als auch das Bundesverwaltungsgericht mit Urteil vom 11. Juli 2024 qualifizierten die vom Gesuchsgegner vorgebrachten Asylgründe als nicht asylrelevant oder unglaubhaft (MI-act. 12 ff., 26 ff.). Die vom Gesuchsgegner an der heutigen mündlichen Verhandlung vor dem Verwaltungsgericht geltend gemachten Vorbringen sind dieselben wie im Asylantrag und wurden vom SEM und vom Bundesverwaltungsgericht bereits abschliessend beurteilt. Der Gesuchsgegner vermochte auch keinerlei neue Nachweise zu erbringen, die zu einer anderen Einschätzung führen würden. Zudem haben sich die Verhältnisse seit der Eröffnung des Urteils des Bundesverwaltungsgerichts am 11. Juli 2024 auch nicht grundlegend geändert. Eine offensichtliche Unzulässigkeit des Wegweisungsentscheides ist demnach vorliegend zu verneinen (vgl. BGE 125 II 217, Erw. 2). Weitere Anzeichen, die an der Ausschaffungsmöglichkeit in rechtlicher oder tatsächlicher Hinsicht Zweifel aufkommen lassen würden, sind ebenfalls keine ersichtlich.</w:t>
      </w:r>
    </w:p>
    <w:p>
      <w:r>
        <w:t>- 6 -</w:t>
      </w:r>
    </w:p>
    <w:p>
      <w:r>
        <w:rPr>
          <w:b/>
        </w:rPr>
        <w:t>E. 3</w:t>
      </w:r>
    </w:p>
    <w:p>
      <w:r>
        <w:t>Unter Kosten- und Entschädigungsfolgen.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28. Januar 2025, 07.00 Uhr, angehalten. Die mündliche Verhandlung begann am 31. Januar 2025, 11.45 Uhr; das Urteil wurde um 12.20 Uhr eröffnet. Die richterliche Haftüberprüfung erfolgte somit innerhalb der Frist von 96 Stunden. II. 1. Wurde ein erstinstanzlicher Weg- oder Ausweisungsentscheid eröffnet oder wurde die betroffene Person mit einer erstinstanzlichen Landesverweisung belegt, kann die zuständige kantonale Behörde die betroffene Person zur Sicherstellung des Vollzugs in Haft nehmen (Art. 76 AIG). Zuständige kantonale Behörde im Sinne von Art. 76 Abs. 1 AIG ist gemäss § 13 Abs. 1 EGAR das MIKA. Im vorliegenden Fall wurde die</w:t>
      </w:r>
    </w:p>
    <w:p>
      <w:r>
        <w:t>- 5 -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JANINE SERT, in: MARTINA CARONI/DANIELA THURNHERR [Hrsg.], Stämpflis Handkommentar zum Ausländer- und Integrationsgesetz [AIG], 2. Aufl., Bern 2024, N. 17 zu Art. 76). Der Gesuchsgegner ist aufgrund der Wegweisungsverfügung des MIKA vom 18. April 2024 verpflichtet, die Schweiz zu verlassen (MI-act. 12 ff.). Er äusserte sich wiederholt dahingehend, er sei nicht bereit, die Schweiz in Richtung der Türkei zu verlassen (MI-act. 65, 94, 115, 135.). In der stetigen Weigerung, der Ausreisepflicht nachzukommen, ist ein klares Anzeichen dafür zu erkennen, dass sich der Gesuchsgegner der Ausschaffung entziehen will. Des Weiteren hielt sich der Gesuchsgegner vom 26. November 2024 bis am 3. Dezember 2024 nicht mehr in der ihm zuge- wiesenen Unterkunft auf und galt als unbekannten Aufenthalts (MI- act. 123). Bei einem bereits zuvor erfolgten Untertauchen ist nach</w:t>
      </w:r>
    </w:p>
    <w:p>
      <w:r>
        <w:t>- 7 - bundesgerichtlicher Rechtsprechung regelmässig von einer weiter beste- henden Untertauchensgefahr auszugehen (BGE 140 II 1, Erw. 5.3). Damit ist der Haftgrund von Art. 76 Abs. 1 lit. b Ziff. 3 und 4 AIG erfüllt.</w:t>
      </w:r>
    </w:p>
    <w:p>
      <w:r>
        <w:rPr>
          <w:b/>
        </w:rPr>
        <w:t>E. 3.2</w:t>
      </w:r>
    </w:p>
    <w:p>
      <w:r>
        <w:t>Gemäss Art. 76 Abs. 1 lit. b Ziff. 1 AIG i.V.m. Art. 75 Abs. 1 lit. b AIG kann eine Person zur Sicherstellung des Wegweisungsvollzugs in Haft genommen werden, wenn sie ein ihr nach Art. 74 AIG zugewiesenes Gebiet verlässt oder ein ihr verbotenes Gebiet betritt. Gegen den Gesuchsgegner wurde mit Verfügung vom 6. August 2024 eine Eingrenzung auf das Staatsgebiet des Kantons Aargau erwirkt (MI- act. 54 ff.). Gemäss eigenen Aussagen des Gesuchsgegners ist dieser in der Zeit zwischen dem 26. November 2024 und dem 3. Dezember 2024 zweimal nach Basel gereist (MI-act. 135). Mit seinem Aufenthalt in Basel hat der Gesuchsgegner gegen die gegen ihn verfügte Rayonauflage verstossen. Damit ist auch der Haftgrund gemäss Art. 76 Abs. 1 lit. b Ziff. 1 AIG i.V.m. Art. 75 Abs. 1 lit. b AIG erfüllt.</w:t>
      </w:r>
    </w:p>
    <w:p>
      <w:r>
        <w:rPr>
          <w:b/>
        </w:rPr>
        <w:t>E. 4</w:t>
      </w:r>
    </w:p>
    <w:p>
      <w:r>
        <w:t>Bezüglich der Haftbedingungen liegen keine Beanstandungen vor (Protokoll S. 3, act. 35).</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aufgrund der bestehenden</w:t>
      </w:r>
    </w:p>
    <w:p>
      <w:r>
        <w:t>- 8 - Untertauchensgefahr nicht ersichtlich. Bezüglich der familiären Verhältnisse ergeben sich keine Anhaltspunkte, welche gegen eine Haftanordnung sprechen würden. Der Gesuchsgegner macht auch nicht geltend, er sei nicht hafterstehungsfähig.</w:t>
      </w:r>
    </w:p>
    <w:p>
      <w:r>
        <w:rPr>
          <w:b/>
        </w:rPr>
        <w:t>E. 7.1</w:t>
      </w:r>
    </w:p>
    <w:p>
      <w:r>
        <w:t>Der Gesuchsgegner bringt jedoch vor, er befände sich derzeit dabei, eine mit ihm weit verwandte Frau kennenzulernen und eine Heirat sei nicht auszuschliessen (MI-act. 135). Er sei daher aus der Haft zu entlassen, damit er die ehelichen Vorbereitungsmassnahmen treffen könne (act. 4). Die Ausschaffungshaft kann sich gemäss geltender Rechtsprechung bei einer bevorstehenden Heirat als unverhältnismässig erweisen, wenn sämtliche notwendigen Papiere vorliegen, ein Heiratstermin feststeht und innert kurzer Frist mit der Erteilung einer Aufenthaltsbewilligung zu rechnen ist (vgl. Urteile 2C_218/2013 vom 26. März 2013, E. 5.2; 2C_150/2012 vom 14. Februar 2012, E. 2.2.2 mit weiteren Hinweisen). Dies ist vorliegend nicht der Fall. Im Rahmen des rechtlichen Gehörs gab der Gesuchsgegner am 28. Januar 2025 zu Protokoll, dass hinsichtlich der Heirat noch keine konkreten Schritte unternommen worden seien, um das Ehevorbereitungsverfahren einzuleiten (MI-act. 135). Die Haft erweist sich demnach in Hinblick auf eine allfällige Heirat nicht als unverhältnismässig.</w:t>
      </w:r>
    </w:p>
    <w:p>
      <w:r>
        <w:rPr>
          <w:b/>
        </w:rPr>
        <w:t>E. 7.2</w:t>
      </w:r>
    </w:p>
    <w:p>
      <w:r>
        <w:t>Der Gesuchsgegner macht zudem geltend, er sei aus der Haft zu entlassen, damit er in einen Drittstaat ausreisen könne (act. 3). Sofern Ausländer und Ausländerinnen rechtmässig in mehrere Staaten ausreisen können, hat das MIKA gemäss Art. 69 Abs. 2 AIG die Möglichkeit, Ausländer und Ausländerinnen auch in diese Staaten auszuschaffen. Der Gesuchsgegner hat vorliegend jedoch weder ein Reisedokument vorgelegt, noch hat er belegt, dass er in einem anderen Staat als seinem Heimatland einen gültigen Aufenthaltstitel besitzt. Demnach ist vorliegend kein rechtmässiger Vollzug der Wegweisung in ein anderes Land als in die Türkei möglich. Insgesamt sind demnach keinerlei Gründe ersichtlich, welche die angeordnete Haft als unverhältnismässig erscheinen liessen. III. 1. Gemäss § 28 Abs. 1 EGAR ist das Verfahren betreffend Haftüberprüfung unentgeltlich. Demgemäss werden keine Kosten erhoben.</w:t>
      </w:r>
    </w:p>
    <w:p>
      <w:r>
        <w:t>- 9 - 2.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per Videotelefonie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