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WPR.2025.109 vom 18. November 2025</w:t>
      </w:r>
    </w:p>
    <w:p>
      <w:r>
        <w:t>AG Verwaltungsgericht, 2025-11-18, DE</w:t>
      </w:r>
    </w:p>
    <w:p>
      <w:r>
        <w:rPr>
          <w:b/>
        </w:rPr>
        <w:t xml:space="preserve">Quelle: </w:t>
      </w:r>
      <w:r>
        <w:t>https://mcp.opencaselaw.ch/entscheid/ag_verwaltungsgericht_WPR.2025.109</w:t>
      </w:r>
    </w:p>
    <w:p>
      <w:r>
        <w:t>FR: AG_VERWALTUNGSGERICHT WPR.2025.109 du 18 novembre 2025</w:t>
      </w:r>
    </w:p>
    <w:p>
      <w:r>
        <w:t>IT: AG_VERWALTUNGSGERICHT WPR.2025.109 del 18 novembre 2025</w:t>
      </w:r>
    </w:p>
    <w:p>
      <w:pPr>
        <w:pStyle w:val="Heading2"/>
      </w:pPr>
      <w:r>
        <w:t>Erwägungen</w:t>
      </w:r>
    </w:p>
    <w:p>
      <w:r>
        <w:rPr>
          <w:b/>
        </w:rPr>
        <w:t>E. 2</w:t>
      </w:r>
    </w:p>
    <w:p>
      <w:r>
        <w:t>Die Haft begann am 14. November 2025, 17.36 Uhr. Sie wird in Anwendung von Art. 76 AIG für 30 Tage bis zum 13. Dezember 2025, 12.00 Uhr, angeordnet.</w:t>
      </w:r>
    </w:p>
    <w:p>
      <w:r>
        <w:rPr>
          <w:b/>
        </w:rPr>
        <w:t>E. 2.1</w:t>
      </w:r>
    </w:p>
    <w:p>
      <w:r>
        <w:t>Das MIKA begründet seine Haftanordnung damit, dass es den Gesuchs- gegner aus der Schweiz ausschaffen und mit der Haft den Vollzug sicherstellen wolle. Der Haftzweck ist damit erstellt.</w:t>
      </w:r>
    </w:p>
    <w:p>
      <w:r>
        <w:rPr>
          <w:b/>
        </w:rPr>
        <w:t>E. 2.2</w:t>
      </w:r>
    </w:p>
    <w:p>
      <w:r>
        <w:t>Die Haftrichterin hat sich im Rahmen der Prüfung, ob die Ausschaffungshaft rechtmässig ist, Gewissheit darüber zu verschaffen, ob ein erstinstanzlicher Weg- oder Ausweisungsentscheid eröffnet wurde (Art. 76 Abs. 1 AIG). Das MIKA wies den Gesuchsgegner mit Verfügung vom 14. November 2025 aus der Schweiz weg und verpflichtete ihn, umgehend auch den Schengen-Raum zu verlassen (MI-act. 29 ff.). Die Kenntnisnahme dieser Verfügung wurde vom Gesuchsgegner gleichentags bestätigt.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Anzeichen, die an der Ausschaffungsmöglichkeit in tatsächlicher oder rechtlicher Hinsicht Zweifel aufkommen lassen würden, wurden seitens des Gesuchsgegner keine geltend gemacht und sind aufgrund der Akten und der Befragung der Parteien auch nicht ersichtlich.</w:t>
      </w:r>
    </w:p>
    <w:p>
      <w:r>
        <w:t>- 5 -</w:t>
      </w:r>
    </w:p>
    <w:p>
      <w:r>
        <w:rPr>
          <w:b/>
        </w:rPr>
        <w:t>E. 3</w:t>
      </w:r>
    </w:p>
    <w:p>
      <w:r>
        <w:t>Die Haft wird im Zentrum für ausländerrechtliche Administrativhaft Zürich (ZAA) vollzogen. Sofern für die Befragung oder die Durchführung einer Haftverhandlung zwingend, erfolgt die Inhaftierung für die notwendige Dauer im Bezirksgefängnis Aarau. C. Anlässlich der heutigen Verhandlung vor der Einzelrichterin des Verwaltungsgerichts wurden der Gesuchsteller und der Gesuchsgegner befragt. D. Der Gesuchsteller beantragt die Bestätigung der Haftanordnung (Protokoll S. 6, act. 32). Der Gesuchsgegner stellt sinngemäss folgenden Antrag (Protokoll S. 6, act. 32): Er sei aus der Haft zu entlassen. Die Einzelrichterin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ordnete das MIKA gestützt auf § 12 EGAR per 14. November 2025, 17.36 Uhr, die Festnahme des Gesuchsgegners an, womit sowohl die Haftüberprüfungsfrist als auch die Ausschaffungshaft am 14. November 2025, 17.36 Uhr zu laufen begonnen haben.</w:t>
      </w:r>
    </w:p>
    <w:p>
      <w:r>
        <w:t>- 4 - Die mündliche Verhandlung begann am 18. November 2025, 14.00 Uhr; das Urteil wurde um 14.45 Uhr eröffnet. Die richterliche Haftüberprüfung erfolgte somit innerhalb der Frist von 96 Stunden. II. 1. Wurde ein erstinstanzlicher Weg- oder Ausweisungsentscheid eröffnet, kann die zuständige kantonale Behörde die betroffene Person zur Sicher- stellung des Vollzugs in Haft nehmen (Art. 76 AIG). Zuständige kantonale Behörde im Sinne von Art. 76 Abs. 1 AIG ist bei migrationsamtlichen Wegweisungen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w:t>
      </w:r>
    </w:p>
    <w:p>
      <w:r>
        <w:rPr>
          <w:b/>
        </w:rPr>
        <w:t>E. 3.2</w:t>
      </w:r>
    </w:p>
    <w:p>
      <w:r>
        <w:t>Der Gesuchsgegner hat sich mit einem gefälschten griechischen Reisepass in der Gemeinde Q._____ angemeldet und sich zwecks Erlangens einer Aufenthalts- und Arbeitsbewilligung als griechischer Staatsangehöriger ausgegeben (MI-act. 1 ff.). Damit verletzte der Gesuchsgegner Art. 90 Bst. a AIG, wonach Ausländerinnen und Ausländer verpflichtet sind, an der Feststellung des für die Anwendung des AIG massgebenden Sachverhalts mitzuwirken und insbesondere zutreffende und vollständige Angaben über die für die Regelung des Aufenthalts wesentlichen Tatsachen zu machen. Die Verletzung dieser Mitwirkungs- pflicht stellt in Anwendung von Art. 76 Abs. 1 lit. b Ziff. 3 AIG ein konkretes Anzeichen dafür dar, dass sich der Gesuchsgegner der Ausschaffung entziehen will.</w:t>
      </w:r>
    </w:p>
    <w:p>
      <w:r>
        <w:t>- 6 - Zudem reiste der Gesuchsgegner trotz dreimalig verweigertem Visum in den Schengen-Raum ein, was darauf schliessen lässt, dass er sich behördlichen Anordnungen widersetzt (Art. 76 Abs. 1 lit. b Ziff. 4 AIG). Der Gesuchsgegner hielt anlässlich der Befragung durch das MIKA (MI-act. 41) sowie auch anlässlich der mündlichen Verhandlung vom 18. November 2025 fest (Protokoll S. 5, act. 31), er sei zur freiwilligen Ausreise bereit und werde nicht untertauchen. Diese Aussagen vermögen indessen die soeben genannten, sehr konkreten Anzeichen für eine Untertauchensgefahr nicht zu widerlegen. Die Verwendung eines gefälschten Ausweises bietet gemäss ständiger Praxis des Verwaltungsgerichts keine Gewähr für eine selbstständige Ausreise (vgl. Entscheid des Verwaltungsgerichts WPR.2023.21 vom 15. März 2023, Erw. 3.2 mit Verweis auf WPR.2016.49 vom 21. März 2016, Erw. 3.2), womit der Haftgrund von Art. 76 Abs. 1 lit. b Ziff. 3 und 4 AIG erfüllt ist.</w:t>
      </w:r>
    </w:p>
    <w:p>
      <w:r>
        <w:rPr>
          <w:b/>
        </w:rPr>
        <w:t>E. 4</w:t>
      </w:r>
    </w:p>
    <w:p>
      <w:r>
        <w:t>Der Gesuchsgegner befindet sich im Zentrum für ausländerrechtliche Administrativhaft in Zürich und demnach in einer Hafteinrichtung, die dem Vollzug der Ausschaffungshaft dient, wie von Art. 81 Abs. 2 AIG verlangt. Bezüglich der Haftbedingungen liegen auch seitens des Gesuchsgegner keine Beanstandungen vor (Protokoll S. 5 f., act. 32 f.).</w:t>
      </w:r>
    </w:p>
    <w:p>
      <w:r>
        <w:rPr>
          <w:b/>
        </w:rPr>
        <w:t>E. 5</w:t>
      </w:r>
    </w:p>
    <w:p>
      <w:r>
        <w:t>Seit der Anhaltung des Gesuchsgegners arbeitet das MIKA aktiv darauf hin, den Vollzug der Wegweisung voranzutreiben. Dem Beschleunigungsgebot gemäss Art. 76 Abs. 4 AIG wird somit Rechnung getragen.</w:t>
      </w:r>
    </w:p>
    <w:p>
      <w:r>
        <w:rPr>
          <w:b/>
        </w:rPr>
        <w:t>E. 6</w:t>
      </w:r>
    </w:p>
    <w:p>
      <w:r>
        <w:t>Das MIKA ordnete die Ausschaffungshaft für 30 Tage an. Diese Haftdauer ist angesichts des Sachverhalts verhältnismässig und somit nicht zu beanstanden.</w:t>
      </w:r>
    </w:p>
    <w:p>
      <w:r>
        <w:rPr>
          <w:b/>
        </w:rPr>
        <w:t>E. 7</w:t>
      </w:r>
    </w:p>
    <w:p>
      <w:r>
        <w:t>Abschliessend stellt sich die Frage, ob die Haftanordnung deshalb nicht zu bestätigen sei, weil sie im konkreten Fall gegen das Prinzip der Verhältnismässigkeit verstossen würde. Die Anordnung einer Aus- schaffungshaft soll ultima ratio bleiben und es ist stets zu prüfen, ob eine mildere Massnahme zur Sicherstellung des Vollzugs der Wegweisung ersichtlich ist. Wird die Haft indessen aufgrund der Untertauchensgefahr angeordnet, erweisen sich die zur Verfügung stehenden milderen Mittel, wie beispielsweise eine Ein- oder Ausgrenzung oder eine Meldepflicht als nicht wirksam. Insofern ist die Anordnung der Haft erforderlich. Bezüglich der familiären Verhältnisse ergeben sich keine Anhaltspunkte, welche gegen eine Haftanordnung sprechen würden. Der Gesuchsgegner macht auch nicht geltend, er sei nicht hafterstehungsfähig. Insgesamt sind</w:t>
      </w:r>
    </w:p>
    <w:p>
      <w:r>
        <w:t>- 7 - keinerlei Gründe ersichtlich, welche die angeordnete Haft als unverhältnis- mässig erscheinen liessen. III. Gemäss § 28 Abs. 1 EGAR ist das Verfahren betreffend Haftüberprüfung unentgeltlich. Demgemäss werden keine Kosten erhoben.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