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WPR.2025.108 vom 17. November 2025</w:t>
      </w:r>
    </w:p>
    <w:p>
      <w:r>
        <w:t>AG Verwaltungsgericht, 2025-11-17, DE</w:t>
      </w:r>
    </w:p>
    <w:p>
      <w:r>
        <w:rPr>
          <w:b/>
        </w:rPr>
        <w:t xml:space="preserve">Quelle: </w:t>
      </w:r>
      <w:r>
        <w:t>https://mcp.opencaselaw.ch/entscheid/ag_verwaltungsgericht_WPR.2025.108</w:t>
      </w:r>
    </w:p>
    <w:p>
      <w:r>
        <w:t>FR: AG_VERWALTUNGSGERICHT WPR.2025.108 du 17 novembre 2025</w:t>
      </w:r>
    </w:p>
    <w:p>
      <w:r>
        <w:t>IT: AG_VERWALTUNGSGERICHT WPR.2025.108 del 17 novembre 2025</w:t>
      </w:r>
    </w:p>
    <w:p>
      <w:pPr>
        <w:pStyle w:val="Heading2"/>
      </w:pPr>
      <w:r>
        <w:t>Erwägungen</w:t>
      </w:r>
    </w:p>
    <w:p>
      <w:r>
        <w:rPr>
          <w:b/>
        </w:rPr>
        <w:t>E. 2</w:t>
      </w:r>
    </w:p>
    <w:p>
      <w:r>
        <w:t>Der Gesuchsgegner sei aus der Haft zu entlassen</w:t>
      </w:r>
    </w:p>
    <w:p>
      <w:r>
        <w:rPr>
          <w:b/>
        </w:rPr>
        <w:t>E. 2.1</w:t>
      </w:r>
    </w:p>
    <w:p>
      <w:r>
        <w:t>Das MIKA begründet die Haftverlängerung damit, dass es den Gesuchsgegner aus der Schweiz ausschaffen und mit der Haft den Vollzug sicherstellen wolle. Der Haftzweck ist damit erstellt.</w:t>
      </w:r>
    </w:p>
    <w:p>
      <w:r>
        <w:t>- 6 -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wies den Gesuchsgegner mit Verfügung vom 26. August 2025 aus der Schweiz weg (MI-act. 1002 ff.). Diese Verfügung wurde dem Ge- suchsgegner gleichentags eröffnet (MI-act. 1005). Damit liegt ein rechts- 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Die mit Urteil vom 27. August 2025 festgestellten Haftgründe bestehen nach wie vor (vgl. WPR.2025.82, Erw. II/3; MI-act. 1054 ff.). Der Gesuchsgegner erklärt konsequent, er sei nicht bereit, die Schweiz in Richtung Algerien zu verlassen (MI-act. 995, 1106). Auch an der heutigen mündlichen Verhandlung gab der Gesuchsgegner an, er wolle nicht nach Algerien zurückkehren (Protokoll S. 4, act. 35). Da der Reisepass des Gesuchsgegners dem MIKA bislang nicht zugestellt wurde, kann auch nicht von einer Mitwirkung bei der Beschaffung von Reisedokumenten gesprochen werden. In der stetigen Weigerung der Ausreisepflicht nachzukommen, ist ein klares Anzeichen dafür zu erkennen, dass sich der Gesuchsgegner der Ausschaffung entziehen will. Damit ist der Haftgrund von Art. 76 Abs. 1 lit. b Ziff. 3 AIG erfüllt. Mit seiner illegalen Einreise in die Schweiz, welche gemäss seinen eigenen Angaben am 24. August 2025 erfolgt ist, hat der Gesuchsgegner zudem gegen das am 1. November 2024 verfügte und am 26. März 2025 verlängerte Einreiseverbot des SEM verstossen (MI-act. 704 f., 906 f.). Damit ist auch der Haftgrund von Art. 76 Abs. 1 lit. b Ziff. 1 AIG i.V.m. Art. 75 Abs. 1 lit. c AIG erfüllt. 4. Bezüglich der Haftbedingungen liegen keine Beanstandungen vor, die geeignet wären, die Haft als unverhältnismässig zu bezeichnen. Der Gesuchsgegner erwähnte zwar, er werde in Haft nicht gut behandelt,</w:t>
      </w:r>
    </w:p>
    <w:p>
      <w:r>
        <w:t>- 7 - weigerte sich jedoch, dies auf Rückfrage weiter zu substantiieren (Protokoll S. 4, act. 35). 5. Es liegen auch keine Anzeichen dafür vor, dass das MIKA dem Beschleunigungsgebot (Art. 76 Abs. 4 AIG) nicht ausreichend Beachtung geschenkt hätte.</w:t>
      </w:r>
    </w:p>
    <w:p>
      <w:r>
        <w:rPr>
          <w:b/>
        </w:rPr>
        <w:t>E. 3</w:t>
      </w:r>
    </w:p>
    <w:p>
      <w:r>
        <w:t>Eventualiter 1: Der Gesuchsgegner sei zu verpflichten, sich täglich bei der Gesuchstellerin zu melden.</w:t>
      </w:r>
    </w:p>
    <w:p>
      <w:r>
        <w:rPr>
          <w:b/>
        </w:rPr>
        <w:t>E. 4</w:t>
      </w:r>
    </w:p>
    <w:p>
      <w:r>
        <w:t>Eventualiter 2: Die Haft sei nur bis zum 10. Dezember 2025 zu bewilligen (Flugdatum).</w:t>
      </w:r>
    </w:p>
    <w:p>
      <w:r>
        <w:rPr>
          <w:b/>
        </w:rPr>
        <w:t>E. 5</w:t>
      </w:r>
    </w:p>
    <w:p>
      <w:r>
        <w:t>Der amtliche Vertreter sei aus der Staatskasse zu entschädigen.</w:t>
      </w:r>
    </w:p>
    <w:p>
      <w:r>
        <w:rPr>
          <w:b/>
        </w:rPr>
        <w:t>E. 6</w:t>
      </w:r>
    </w:p>
    <w:p>
      <w:r>
        <w:t>Unter Kosten- und Entschädigungsfolgen.</w:t>
      </w:r>
    </w:p>
    <w:p>
      <w:r>
        <w:t>- 5 - Die Einzelrichterin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ff., Erw. I/4.3 ff.). 2. Im vorliegenden Fall wurde die bestehende Haft bis zum 25. November 2025 bestätigt (Entscheid des Verwaltungsgerichts WPR.2025.82 vom 27. August 2025; MI-act. 1049 ff.). Die Verhandlung betreffend Bewilligung der Haftverlängerung erfolgte am 17. November 2025 und damit vor Ablauf der bestehenden Haft. II. 1. Wurde ein erstinstanzlicher Weg- oder Ausweisungsentscheid eröffnet oder wurde die betroffene Person mit einer erstinstanzlichen Landesver- weisung belegt, kann die zuständige kantonale Behörde die betroffene Person zur Sicherstellung des Vollzugs in Haft nehmen bzw. bei be- stehender Haft eine Haftverlängerung anordnen (Art. 76 des Bundes- gesetzes über die Ausländerinnen und Ausländer und über die Integration vom 16. Dezember 2005 [Ausländer- und Integrationsgesetz, AIG; SR 142.20]). Zuständige kantonale Behörde im Sinne von Art. 80 Abs. 1 AIG ist bei migrationsamtlichen Wegweisungen gemäss § 13 Abs. 1 des Einführungs- 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 2.</w:t>
      </w:r>
    </w:p>
    <w:p>
      <w:r>
        <w:rPr>
          <w:b/>
        </w:rPr>
        <w:t>E. 6.1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26. August 2025 – 25. November 2025). Die sechsmonatige Frist wird damit am 25. Februar 2026 enden und die Haft kann längstens bis zum 25. Februar 2027 verlängert werden.</w:t>
      </w:r>
    </w:p>
    <w:p>
      <w:r>
        <w:rPr>
          <w:b/>
        </w:rPr>
        <w:t>E. 6.3</w:t>
      </w:r>
    </w:p>
    <w:p>
      <w:r>
        <w:t>Das MIKA ordnete die Verlängerung der Ausschaffungshaft um weitere drei Monate, d.h. bis zum 25. Februar 2026,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besteht die Möglichkeit, ein Haftentlassungsgesuch zu stellen.</w:t>
      </w:r>
    </w:p>
    <w:p>
      <w:r>
        <w:t>- 8 -</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Der Gesuchs- gegner bringt jedoch vor, die Haft sei unverhältnismässig, da er freiwillig nach Spanien gehen wolle und Spanien auch im Rahmen des Dublin- Verfahrens für ihn zuständig sei (Protokoll S. 3, act. 34). Das vom MIKA gestellte Rückübernahmegesuch wurde jedoch von den spanischen Behörden abgelehnt (MI-act. 1039). Auch aus dem vom Gesuchsgegner an der Verhandlung vom 17. November 2025 abgegebenen spanischen Dokument (act. 38) erschliesst sich weder ein Aufenthaltsrecht noch ein laufendes Asylverfahren in Spanien. Im Falle einer Haftentlassung wäre damit zu rechnen, dass der Gesuchsgegner die Schweiz illegal in Richtung Spanien verliesse und er damit gegen das gegen ihn verhängte Einreiseverbot, welches für das gesamte Gebiet der Schengen-Staaten und damit auch für Spanien gilt, verstossen würde (MI-act. 704, 906). Ebenso wenig wäre die Auferlegung einer Meldepflicht zielführend. Selbst wenn der Gesuchsgegner dieser Meldepflicht anfänglich nachkommen würde, bestünde die konkrete Gefahr des Untertauchens, sobald man dem Gesuchsgegner die Flugdaten für seinen Rückflug nach Algerien bekannt gäbe. Da sich der Gesuchsgegner bislang konsequent zur Ausreise nach Algerien weigerte, ist sodann damit zu rechnen, dass es trotz des gebuchten Fluges weiterhin zu Verzögerungen und insbesondere zur Verweigerung des Fluges kommen kann, weswegen eine Beschränkung der Haftdauer bis zum Flugdatum den Vollzug der Wegweisung nicht sicherstellt. Insgesamt sind keinerlei Gründe ersichtlich, welche die Verlängerung der Haft als unverhältnismässig erscheinen liessen. III. 1. Gemäss § 28 Abs. 1 EGAR ist das Verfahren betreffend Haftüberprüfung unentgeltlich. Demgemäss werden keine Kosten erhoben. 2. Der mit Urteil vom 27. August 2025 bestätigte amtliche Rechtsvertreter bleibt im Amt und kann seine Kostennote im Rahmen des Verfahrens WPR.2025.82 einreichen. IV. 1. Der Gesuchsgegner wird darauf hingewiesen, dass ein Haftentlassungs- gesuch frühestens einen Monat nach Haftüberprüfung gestellt werden</w:t>
      </w:r>
    </w:p>
    <w:p>
      <w:r>
        <w:t>- 9 -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 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