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WPR.2025.102 vom 23. Oktober 2025</w:t>
      </w:r>
    </w:p>
    <w:p>
      <w:r>
        <w:t>AG Verwaltungsgericht, 2025-10-23, DE</w:t>
      </w:r>
    </w:p>
    <w:p>
      <w:r>
        <w:rPr>
          <w:b/>
        </w:rPr>
        <w:t xml:space="preserve">Quelle: </w:t>
      </w:r>
      <w:r>
        <w:t>https://mcp.opencaselaw.ch/entscheid/ag_verwaltungsgericht_WPR.2025.102</w:t>
      </w:r>
    </w:p>
    <w:p>
      <w:r>
        <w:t>FR: AG_VERWALTUNGSGERICHT WPR.2025.102 du 23 octobre 2025</w:t>
      </w:r>
    </w:p>
    <w:p>
      <w:r>
        <w:t>IT: AG_VERWALTUNGSGERICHT WPR.2025.102 del 23 ottobre 2025</w:t>
      </w:r>
    </w:p>
    <w:p>
      <w:pPr>
        <w:pStyle w:val="Heading2"/>
      </w:pPr>
      <w:r>
        <w:t>Erwägungen</w:t>
      </w:r>
    </w:p>
    <w:p>
      <w:r>
        <w:rPr>
          <w:b/>
        </w:rPr>
        <w:t>E. 2</w:t>
      </w:r>
    </w:p>
    <w:p>
      <w:r>
        <w:t>Die Haft beginnt am 24. Oktober 2025, 12.00 Uhr. Sie wird in Anwendung von Art. 76 AIG für drei Monate bis zum 23. Januar 2026,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Bezirksgericht Zurzach verwies den Gesuchsgegner mit Urteil ST.2019.43 vom 24. Oktober 2019 für acht Jahre des Landes (MI- act. 101 ff.). Das Urteil ist offenbar unangefochten in Rechtskraft er- wachsen (vgl. MI-act. 131 f.). Damit liegt eine rechtsgenügliche Landes- 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Insbesondere stehen dem Vollzug der Wegweisung gemäss dem Amtsbericht des SEM keine völkerrechtlichen Verpflichtungen entgegen.</w:t>
      </w:r>
    </w:p>
    <w:p>
      <w:r>
        <w:rPr>
          <w:b/>
        </w:rPr>
        <w:t>E. 3</w:t>
      </w:r>
    </w:p>
    <w:p>
      <w:r>
        <w:t>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wird der Gesuchsgegner am 24. Oktober 2025, aus dem Strafvollzug entlassen und dem MIKA zugeführt. Die mündliche Verhandlung begann am 23. Oktober 2025, 9.05 Uhr; das Urteil wurde um 9.35 Uhr eröffnet. Die richterliche Haftüberprüfung erfolgte somit vor Beginn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w:t>
      </w:r>
    </w:p>
    <w:p>
      <w:r>
        <w:t>- 5 -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w:t>
      </w:r>
    </w:p>
    <w:p>
      <w:r>
        <w:t>- 6 -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 mentar Migrationsrecht, 5. Aufl. 2019, N. 7 zu Art. 76 AIG; JANINE SERT, in: Caroni/Thurnherr [Hrsg.], Stämpflis Handkommentar zum Ausländer- und Integrationsgesetz [AIG], 2. Aufl. 2024, N. 17 zu Art. 76). Der Gesuchsgegner äusserte sich mehrfach anlässlich von Ausreise- gesprächen am 31. März 2020, 8. Juni 2022, 30. Juli 2024 und 14. Februar 2025 gegenüber dem MIKA, dass er nicht freiwillig nach Afghanistan zurückkehren werde (MI-act. 170, 282, 451, 503). Auch anlässlich der Be- fragung zur Gewährung des rechtlichen Gehörs vom 17. Oktober 2025 wie auch an der heutigen Verhandlung, erklärte sich der Gesuchsgegner nicht zur freiwilligen Rückreise in sein Heimatland bereit (MI-act. 625; Protokoll S. 5, act. 40). Mit seiner Weigerung setzte der Gesuchsgegner damit klare Anzeichen für eine Untertauchensgefahr, und es ist nicht davon auszu- gehen, dass er nach einer Entlassung aus der Ausschaffungshaft die Schweiz freiwillig in Richtung Afghanistan verlassen würde. Damit ist der Haftgrund von Art. 76 Abs. 1 lit. b Ziff. 3 und 4 AIG erfüllt ist. Hinzu kommt, dass der Gesuchsgegner ab dem 18. Oktober 2024 und ab dem 1. Juli 2025 als unbekannten Aufenthalts galt (MI-act. 470, 516). Er hielt sich den Behörden demnach bereits in der Vergangenheit mehrfach nicht zur Verfügung. Auch dieses Verhalten zeigt, dass er nicht bereit ist, behördlichen Anordnungen Folge zu leisten und in Bezug auf seine Aus- reise zu kooperieren.</w:t>
      </w:r>
    </w:p>
    <w:p>
      <w:r>
        <w:rPr>
          <w:b/>
        </w:rPr>
        <w:t>E. 3.2</w:t>
      </w:r>
    </w:p>
    <w:p>
      <w:r>
        <w:t>Das MIKA stützt seine Haftanordnung weiter auf Art. 76 Abs. 1 lit. b Ziff. 1 i.V.m. Art. 75 Abs. 1 lit. b AIG, wonach eine Person zur Sicherstellung des</w:t>
      </w:r>
    </w:p>
    <w:p>
      <w:r>
        <w:t>- 7 - Wegweisungsvollzug in Haft genommen werden kann, wenn sie ein ihr nach Art. 74 AIG zugewiesenes Gebiet verlässt oder ein ihr verbotenes Gebiet betritt. Mit Verfügung vom 26. April 2019 ordnete das MIKA die Eingrenzung des Gesuchsgegners auf das Gebiet des Kantons Aargau sowie die Ausgrenzung aus den Gemeinden Frick und Aarau an (MI-act. 62 ff.). Der Gesuchsgegner wurde mehrfach mit Strafbefehlen rechtskräftig wegen Missachtung der gegen ihn verhängten Ein- und Ausgrenzung verurteilt (MI-act. 84 ff., 212 ff., 261 ff., 328 ff., 365 ff., 376 ff., 384 ff., 394 ff., 461 ff., 467 ff., 508 ff.). Der Gesuchsgegner gab zwar anlässlich der heutigen Verhandlung an, er habe nur gegen die Ausgrenzung verstossen, da er ins Kantonsspital Aarau wollte. Nachdem er diesen Rechtfertigungsgrund gegenüber den Strafbehörden nicht vorgebracht hat (vgl. Protokoll S. 4, act. 39), ist auf die rechtskräftigen Strafbefehle abzustellen und festzuhalten, dass auch der Haftgrund von Art. 76 Abs. 1 lit. b Ziff. 1 i.V.m. Art. 75 Abs. 1 lit. b AIG erfüllt ist.</w:t>
      </w:r>
    </w:p>
    <w:p>
      <w:r>
        <w:rPr>
          <w:b/>
        </w:rPr>
        <w:t>E. 3.3</w:t>
      </w:r>
    </w:p>
    <w:p>
      <w:r>
        <w:t>Weiter stützt das MIKA seine Haftanordnung auf Art. 76 Abs. 1 lit. b Ziff. 1 i. V. m. Art. 75 Abs. 1 lit. h AIG, wonach eine Person in Haft genommen werden kann, wenn sie wegen eines Verbrechens verurteilt worden ist. Verbrechen sind gemäss Art. 10 Abs. 2 StGB Taten, die mit einer Freiheitsstrafe von mehr als drei Jahren bedroht sind. Für den Haftgrund nach Art. 76 Abs. 1 lit. b Ziff. 1 i. V. m. Art. 75 Abs. 1 lit. h AIG ist erforderlich, dass eine rechtskräftige Verurteilung vorliegt (ZÜND, a. a. O., N. 12 zu Art. 75 AIG). Gemäss konstanter bundesgerichtlicher Rechtsprechung ist bei diesem Haftgrund keine Prognose darüber erforderlich, ob sich die ausländische Person dem Vollzug der Wegweisung tatsächlich entziehen wird. Vielmehr besteht aufgrund der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 Das Bezirksgericht Zurzach hat den Gesuchsgegner mit Urteil ST.2019.43 vom 24. Oktober 2019 unter anderem wegen Diebstahls gemäss Art. 139 Abs. 1 StGB rechtskräftig verurteilt (MI-act. 101 ff., 131). Da Diebstahl mit einer Freiheitsstrafe von mehr als drei Jahren bedroht ist, ist der Haftgrund gemäss Art. 76 Abs. 1 lit. b Ziff. 1 AIG i.V.m. Art. 75 Abs. 1 lit. h AIG ebenfalls erfüllt.</w:t>
      </w:r>
    </w:p>
    <w:p>
      <w:r>
        <w:t>- 8 -</w:t>
      </w:r>
    </w:p>
    <w:p>
      <w:r>
        <w:rPr>
          <w:b/>
        </w:rPr>
        <w:t>E. 3.4</w:t>
      </w:r>
    </w:p>
    <w:p>
      <w:r>
        <w:t>Nach dem Gesagten steht fest, dass die Haftgründe nach Art. 76 Abs. 1 lit. b Ziff. 3 und 4 AIG (Untertauchensgefahr), Art. 76 Abs. 1 lit. b Ziff. 1 i.V.m. Art. 75 Abs. 1 lit. b AIG (Verstoss gegen eine Gebietsbeschränkung) sowie Art. 76 Abs. 1 lit. b Ziff. 1 i.V.m. Art. 75 Abs. 1 lit. h AIG (Verurteilung wegen eines Verbrechens) erfüllt sind.</w:t>
      </w:r>
    </w:p>
    <w:p>
      <w:r>
        <w:rPr>
          <w:b/>
        </w:rPr>
        <w:t>E. 4</w:t>
      </w:r>
    </w:p>
    <w:p>
      <w:r>
        <w:t>Bezüglich der Haftbedingungen ist keine Prüfung vorzunehmen, da sich der Gesuchsgegner zurzeit noch im Strafvollzug befindet (Protokoll S. 7, act. 42).</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zwar geltend, er brauche aufgrund von Metall in seinem Finger eine Operation (Protokoll S. 5, act. 40). Gemäss den Ausführungen des MIKA ist die medizinische Versorgung in der Haft gewährleistet und sofern notwendig sei auch eine Operation möglich (Protokoll S. 6, act. 41). Indes finden sich in den Akten keine Hinweise auf eine bevorstehende Operation. Auch dem MIKA sind offenbar keine entsprechenden Pläne bekannt (Protokoll S. 5 f., act. 40 f.). Insgesamt sind keinerlei Gründe ersichtlich, welche die angeordnete Haft als unverhältnismässig erscheinen liessen.</w:t>
      </w:r>
    </w:p>
    <w:p>
      <w:r>
        <w:t>- 9 -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