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WPR.2024.98 vom 18. Oktober 2024</w:t>
      </w:r>
    </w:p>
    <w:p>
      <w:r>
        <w:t>AG Verwaltungsgericht, 2024-10-18, DE</w:t>
      </w:r>
    </w:p>
    <w:p>
      <w:r>
        <w:rPr>
          <w:b/>
        </w:rPr>
        <w:t xml:space="preserve">Quelle: </w:t>
      </w:r>
      <w:r>
        <w:t>https://mcp.opencaselaw.ch/entscheid/ag_verwaltungsgericht_WPR.2024.98</w:t>
      </w:r>
    </w:p>
    <w:p>
      <w:r>
        <w:t>FR: AG_VERWALTUNGSGERICHT WPR.2024.98 du 18 octobre 2024</w:t>
      </w:r>
    </w:p>
    <w:p>
      <w:r>
        <w:t>IT: AG_VERWALTUNGSGERICHT WPR.2024.98 del 18 ottobre 2024</w:t>
      </w:r>
    </w:p>
    <w:p>
      <w:pPr>
        <w:pStyle w:val="Heading2"/>
      </w:pPr>
      <w:r>
        <w:t>Erwägungen</w:t>
      </w:r>
    </w:p>
    <w:p>
      <w:r>
        <w:rPr>
          <w:b/>
        </w:rPr>
        <w:t>E. 2</w:t>
      </w:r>
    </w:p>
    <w:p>
      <w:r>
        <w:t>Die Haft begann am 16. Oktober 2024, 15.45 Uhr. Sie wird in Anwendung von Art. 76 AIG für drei Monate bis zum 15. Januar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Entscheid vom 13. September 2023 lehnte das SEM das Asylgesuch des Gesuchsgegners ab und wies ihn aus der Schweiz weg (MI- act. 297 ff.). Dieser Entscheid erwuchs am 16. Oktober 2023 in Rechtskraft (MI-act. 317). Ferner wurde der Gesuchsgegner mit inzwischen rechtskräf- tigem Urteil vom 13. August 2024 durch das Bezirksgericht Baden gestützt auf Art. 66a Abs. 1 lit. d StGB für eine Dauer von fünf Jahren des Landes verwiesen (MI-act. 455 ff., 476). Damit liegt nicht nur ein rechtsgenüglicher</w:t>
      </w:r>
    </w:p>
    <w:p>
      <w:r>
        <w:t>- 5 - Wegweisungsentscheid, sondern auch eine rechtskräftige Landesverwei- sung vor.</w:t>
      </w:r>
    </w:p>
    <w:p>
      <w:r>
        <w:rPr>
          <w:b/>
        </w:rPr>
        <w:t>E. 2.3</w:t>
      </w:r>
    </w:p>
    <w:p>
      <w:r>
        <w:t>Gemäss Art. 80 Abs. 6 lit. a AIG ist die Haft zu beenden, wenn sich erweist, dass der Vollzug der Wegweisung aus rechtlichen oder tatsächlichen Grün- den undurchführbar ist. Der Vertreter des Gesuchsgegners macht geltend, die Voraussetzungen für eine effektive Ausschaffung seien derzeit nicht gegeben. So würde ein Counselling-Termin bei der algerischen Vertretung aufgrund administrati- ver Hürden monatelang auf sich warten lassen, und auch bei der Flugbu- chung für unfreiwillige Ausreisen würden erhebliche Verzögerungen bestehen. Die Ausschaffung sei daher nicht innerhalb einer vernünftigen Frist möglich. Eine Haftentlassung wegen undurchführbarem Vollzug rechtfertigt sich nur dann, wenn keine oder bloss eine höchst unwahrscheinliche, rein theoretische Möglichkeit besteht, die Wegweisung zu vollziehen (BGE 147 II 49, Erw. 2.2.3). Dies ist etwa der Fall bei länger dauernder Trans- portunfähigkeit aus gesundheitlichen Gründen oder einer ausdrücklichen oder zumindest klar erkennbaren und konsequent gehandhabten Weige- rung eines Staates, gewisse Staatsangehörige zurückzunehmen (BGE 125 II 217, Erw. 2). Bei einer ernsthaften, wenn auch allenfalls (noch) geringen Aussicht auf den Vollzug der Wegweisung, ist die Haft indessen nicht zu beenden (BGE130 II 56, Erw. 4.1.3). Diesbezüglich ist festzuhalten, dass die Identität des Gesuchsgegners am</w:t>
      </w:r>
    </w:p>
    <w:p>
      <w:r>
        <w:rPr>
          <w:b/>
        </w:rPr>
        <w:t>E. 3</w:t>
      </w:r>
    </w:p>
    <w:p>
      <w:r>
        <w:t>Die Haft wird im Zentrum für ausländerrechtliche Administrativhaft Zürich (ZAA) oder im Gefängnis Bässlergut Basel vollzogen. Soweit für die Befra- 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(Protokoll S. 4, act. 29). Der Gesuchsgegner liess folgende Anträge stellen (Protokoll S. 4, act. 29): 1. Es sei die Verfügung vom 16.10.2024 des MIKA vollumfänglich aufzuheben und der Gesuchsgegner sei aus der Haft zu entlassen. 2. Alles unter Kosten- und Entschädigungsfolgen. Der Einzelrichter zieht in Erwägung: 1.I.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w:t>
      </w:r>
    </w:p>
    <w:p>
      <w:r>
        <w:t>- 4 -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16. Oktober 2024, 15.45 Uhr, aus dem Strafvollzug entlassen und dem MIKA zugeführt. Die mündliche Verhandlung begann am 18. Oktober 2024, 10.10 Uhr; das Urteil wurde um 11.20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(Strafvollzugsverordnung, SMV; SAR 253.112) das MIKA. Im vorliegenden Fall wurde die Haftanordnung durch das MIKA und damit durch die zustän- dige Behörde erlassen (act. 1 ff.). 2.</w:t>
      </w:r>
    </w:p>
    <w:p>
      <w:r>
        <w:rPr>
          <w:b/>
        </w:rPr>
        <w:t>E. 3.1</w:t>
      </w:r>
    </w:p>
    <w:p>
      <w:r>
        <w:t>Das MIKA stützt seine Haftanordnung auf Art. 76 Abs. 1 lit. b Ziff. 3 AIG, wonach ein Haftgrund dann vorliegt, wenn konkrete Anzeichen befürchten</w:t>
      </w:r>
    </w:p>
    <w:p>
      <w:r>
        <w:t>- 6 -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 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Der Gesuchsgegner ist aufgrund des rechtskräftigen Wegweisungsent- scheids des SEM (MI-act. 297 ff.) sowie aufgrund der rechtskräftigen Lan- desverweisung gemäss Art. 66a Abs. 1 lit. d StGB (MI-act. 455 ff.) verpflichtet, die Schweiz zu verlassen. Er äusserte sich wiederholt, zuletzt anlässlich der heutigen Verhandlung, dahingehend, er sei nicht bereit, die Schweiz in Richtung Algerien zu verlassen (MI-act. 497 f.; Protokoll S. 2, act. 27). In der stetigen Weigerung, der Ausreisepflicht nachzukommen, ist ein klares Anzeichen dafür zu erkennen, dass sich der Gesuchsgegner der Ausschaffung entziehen will. Auch wenn der Gesuchsgegner gemäss eigenen Angaben über eine ID-Karte, eine Geburtsurkunde und einen Führerschein verfügt, hat er nichts unternommen, um diese Dokumente vorzulegen oder in anderer Weise bei der Beschaffung von Ausweispapie- ren mitzuwirken, (MI-act. 272, 497). Der Gesuchsgegner hat damit seine Mitwirkungspflicht nach Art. 90 lit. c AIG sowie Art. 8 Abs. 4 AsylG verletzt, was ein weiteres Anzeichen dafür ist, dass sich der Gesuchsgegner der</w:t>
      </w:r>
    </w:p>
    <w:p>
      <w:r>
        <w:t>- 7 - Ausschaffung entziehen will (vgl. BGE 130 II 377, Erw. 3.2.2). Damit ist der Haftgrund von Art. 76 Abs. 1 lit. b Ziff. 3 und 4 AIG erfüllt.</w:t>
      </w:r>
    </w:p>
    <w:p>
      <w:r>
        <w:rPr>
          <w:b/>
        </w:rPr>
        <w:t>E. 3.2</w:t>
      </w:r>
    </w:p>
    <w:p>
      <w:r>
        <w:t>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Wegwei- 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 Das Bezirksgericht Baden hat den Gesuchsgegner mit Urteil vom 13. August 2024 unter anderem wegen mehrfachen Diebstahls nach Art. 139 Ziff. 1 StGB und mehrfachen Hausfriedensbruchs nach Art. 186 StGB rechtskräftig verurteilt (MI-act. 455 ff.). Nach Art. 139 StGB ist die Höchststrafe für Diebstahl Freiheitsstrafe bis zu fünf Jahren, weshalb dieser Tatbestand ein Verbrechen nach Art. 10 Abs. 2 StGB darstellt.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w:t>
      </w:r>
    </w:p>
    <w:p>
      <w:r>
        <w:t>- 8 -</w:t>
      </w:r>
    </w:p>
    <w:p>
      <w:r>
        <w:rPr>
          <w:b/>
        </w:rPr>
        <w:t>E. 4</w:t>
      </w:r>
    </w:p>
    <w:p>
      <w:r>
        <w:t>Bezüglich der Haftbedingungen liegen keine Beanstandungen vor, die geeignet wären, die Haft als unverhältnismässig zu bezeichnen (Protokoll S. 3, act. 28).</w:t>
      </w:r>
    </w:p>
    <w:p>
      <w:r>
        <w:rPr>
          <w:b/>
        </w:rPr>
        <w:t>E. 5</w:t>
      </w:r>
    </w:p>
    <w:p>
      <w:r>
        <w:t>Es liegen auch keine Anzeichen dafür vor, dass das MIKA dem Beschleu- nigungsgebot (Art. 76 Abs. 4 AIG) nicht ausreichend Beachtung geschenkt hätte. Insbesondere hat das vor dem MIKA zuständige MIGRA beim SEM bereits im Januar 2024 um Vollzugsunterstützung im Rahmen der Identifi- kation des Gesuchsgegners ersucht (MI-act. 404), wodurch letzterer am 4. Juli 2024 identifiziert werden konnte (MI-act. 454).</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Insbesondere stellt die vom Vertreter des Gesuchsgegners vorgebrachte Unterbringung in einer "überwachten Unterkunft" keine geeignete mildere Massnahme dar, da auch in einer Unterkunft, in der sich der Gesuchsgegner regelmässig melden muss, die Möglichkeit für den Gesuchsgegner besteht, unterzutau- chen. Der vorstehend festgestellten Untertauchensgefahr kann mit einer solchen Massnahme somit nicht begegnet werden. Bezüglich der familiären Verhältnisse ergeben sich ebenfalls keine Anhaltspunkte, welche gegen eine Haftanordnung sprechen würden. Der Gesuchsgegner macht auch nicht geltend, er sei nicht hafterstehungsfähig. Insgesamt sind keinerlei Gründe ersichtlich, welche die angeordnete Haft als unverhältnis- mässig erscheinen liessen. III. 1. Gemäss § 28 Abs. 1 EGAR ist das Verfahren betreffend Haftüberprüfung unentgeltlich. Demgemäss werden keine Kosten erhoben.</w:t>
      </w:r>
    </w:p>
    <w:p>
      <w:r>
        <w:t>- 9 - 2.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