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WPR.2024.95 vom 15. Oktober 2024</w:t>
      </w:r>
    </w:p>
    <w:p>
      <w:r>
        <w:t>AG Verwaltungsgericht, 2024-10-15, DE</w:t>
      </w:r>
    </w:p>
    <w:p>
      <w:r>
        <w:rPr>
          <w:b/>
        </w:rPr>
        <w:t xml:space="preserve">Quelle: </w:t>
      </w:r>
      <w:r>
        <w:t>https://mcp.opencaselaw.ch/entscheid/ag_verwaltungsgericht_WPR.2024.95</w:t>
      </w:r>
    </w:p>
    <w:p>
      <w:r>
        <w:t>FR: AG_VERWALTUNGSGERICHT WPR.2024.95 du 15 octobre 2024</w:t>
      </w:r>
    </w:p>
    <w:p>
      <w:r>
        <w:t>IT: AG_VERWALTUNGSGERICHT WPR.2024.95 del 15 ottobre 2024</w:t>
      </w:r>
    </w:p>
    <w:p>
      <w:pPr>
        <w:pStyle w:val="Heading2"/>
      </w:pPr>
      <w:r>
        <w:t>Erwägungen</w:t>
      </w:r>
    </w:p>
    <w:p>
      <w:r>
        <w:rPr>
          <w:b/>
        </w:rPr>
        <w:t>E. 2</w:t>
      </w:r>
    </w:p>
    <w:p>
      <w:r>
        <w:t>Die Haft begann am 12. Oktober 2024, 14.00 Uhr.</w:t>
      </w:r>
    </w:p>
    <w:p>
      <w:r>
        <w:rPr>
          <w:b/>
        </w:rPr>
        <w:t>E. 3</w:t>
      </w:r>
    </w:p>
    <w:p>
      <w:r>
        <w:t>Die Verfahrens- und Vollzugskosten seien auf die Staatskasse zu nehmen.</w:t>
      </w:r>
    </w:p>
    <w:p>
      <w:r>
        <w:rPr>
          <w:b/>
        </w:rPr>
        <w:t>E. 4</w:t>
      </w:r>
    </w:p>
    <w:p>
      <w:r>
        <w:t>Bezüglich der Haftbedingungen liegen keine Beanstandungen vor.</w:t>
      </w:r>
    </w:p>
    <w:p>
      <w:r>
        <w:rPr>
          <w:b/>
        </w:rPr>
        <w:t>E. 5</w:t>
      </w:r>
    </w:p>
    <w:p>
      <w:r>
        <w:t>Es liegen auch keine Anzeichen dafür vor, dass das MIKA dem Beschleunigungsgebot nicht ausreichend Beachtung geschenkt hätte.</w:t>
      </w:r>
    </w:p>
    <w:p>
      <w:r>
        <w:t>- 8 -</w:t>
      </w:r>
    </w:p>
    <w:p>
      <w:r>
        <w:rPr>
          <w:b/>
        </w:rPr>
        <w:t>E. 6</w:t>
      </w:r>
    </w:p>
    <w:p>
      <w:r>
        <w:t>Abschliessend stellt sich die Frage, ob die Haftanordnung deshalb nicht zu bestätigen sei, weil sie im konkreten Fall gegen das Prinzip der Verhältnismässigkeit verstossen würde. Eine mildere Massnahme zur Sicherstellung der Vorbereitung und des Vollzugs der Wegweisung, wie die vom Rechtsvertreter des Gesuchsgegners geforderte Eingrenzung oder Meldepflicht (act. 25), ist in Anbetracht der erstellten Untertauchensgefahr des Gesuchsgegners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rPr>
          <w:b/>
        </w:rPr>
        <w:t>E. 7</w:t>
      </w:r>
    </w:p>
    <w:p>
      <w:r>
        <w:t>Das MIKA ordnete die Administrativhaft gestützt auf Art. 76a Abs. 3 lit. a AIG für zunächst maximal sieben Wochen bis zum 29. November 2024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Wegweisungsvollzugs hat das MIKA mittels Feststellungsverfügung anzuzeigen. Weigert sich der Gesuchsgegner im Rahmen des Wegweisungsvollzugs,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nationalem Recht geltende Höchstdauer der Haft von drei Monaten darf nach bundesgerichtlicher Rechtsprechung jedoch nicht ausgeschöpft werden und muss richterlich überprüfbar sein (BGE 148 II 169, Erw. 4 ff.). Nachdem das Bundesgericht offengelassen hat, welche Haftdauer insgesamt zulässig ist, wird aufgrund des konkreten Einzelfalls zu bestimmen sein, für wie lange Renitenzhaft angeordnet werden darf.</w:t>
      </w:r>
    </w:p>
    <w:p>
      <w:r>
        <w:rPr>
          <w:b/>
        </w:rPr>
        <w:t>E. 8</w:t>
      </w:r>
    </w:p>
    <w:p>
      <w:r>
        <w:t>Es bestehen überdies keine Anzeichen dafür, dass die für die Rückführung des Gesuchsgegners nach Deutschland notwendigen Schritte nicht innert der jeweils maximal zulässigen Haftdauer abgeschlossen werden könnten und die Haft gemäss Art. 80a Abs. 7 lit. a AIG zu beenden wäre.</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