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WPR.2024.92 vom 3. Oktober 2024</w:t>
      </w:r>
    </w:p>
    <w:p>
      <w:r>
        <w:t>AG Verwaltungsgericht, 2024-10-03, DE</w:t>
      </w:r>
    </w:p>
    <w:p>
      <w:r>
        <w:rPr>
          <w:b/>
        </w:rPr>
        <w:t xml:space="preserve">Quelle: </w:t>
      </w:r>
      <w:r>
        <w:t>https://mcp.opencaselaw.ch/entscheid/ag_verwaltungsgericht_WPR.2024.92</w:t>
      </w:r>
    </w:p>
    <w:p>
      <w:r>
        <w:t>FR: AG_VERWALTUNGSGERICHT WPR.2024.92 du 3 octobre 2024</w:t>
      </w:r>
    </w:p>
    <w:p>
      <w:r>
        <w:t>IT: AG_VERWALTUNGSGERICHT WPR.2024.92 del 3 ottobre 2024</w:t>
      </w:r>
    </w:p>
    <w:p>
      <w:pPr>
        <w:pStyle w:val="Heading2"/>
      </w:pPr>
      <w:r>
        <w:t>Erwägungen</w:t>
      </w:r>
    </w:p>
    <w:p>
      <w:r>
        <w:rPr>
          <w:b/>
        </w:rPr>
        <w:t>E. 2</w:t>
      </w:r>
    </w:p>
    <w:p>
      <w:r>
        <w:t>Die Haft begann am 1. Oktober 2024, 08.00 Uhr. Sie wird in Anwendung von Art. 76 AIG für drei Monate bis zum 31. Dezember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Verfügung vom 4. April 2024 lehnte das SEM das Asylgesuch des Ge- suchsgegners ab und wies ihn aus der Schweiz und dem Schengen-Raum weg (MI-act. 104). Diese Verfügung erwuchs am 14. April 2024 unange- fochten in Rechtskraft (MI-act. 106). Damit liegt nicht nur ein rechtsgenüg- licher, sondern auch ein rechtskräftiger Wegweisungsentscheid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zumal das MIKA bereits eine Fluganmeldung nach Tunis vorgenom- men hat (act. 43 f.) und gemäss Aussage der Vertreterin des Gesuchstel- lers die Rückführung in den nächsten Wochen stattfinden wird (Protokoll S. 3, act. 38).</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Heute, am 3. Oktober 2024, nahm das MIKA für den Gesuchsgegner eine Anmeldung für einen unbegleiteten Flug nach Tunis vor (act. 43 f.). C. Anlässlich der heutigen Verhandlung vor dem Einzelrichter des Verwal- tungsgerichts wurden der Gesuchsteller und der Gesuchsgegner befragt.</w:t>
      </w:r>
    </w:p>
    <w:p>
      <w:r>
        <w:t>- 4 - D. Der Gesuchsteller beantragte die Bestätigung der Haftanordnung (Proto- koll S. 4, act. 39). Der Gesuchsgegner liess folgende Anträge stellen (Protokoll S. 4, act. 39): 1. Die mit Verfügung vom 01. Oktober 2024 angeordnete Ausschaffungshaft des MIKA sei nicht zu bestätigen. Der Gesuchsgegner sei unverzüglich aus der Haft zu entlassen. Eventualiter seien geeignete Ersatzmassnah- men, wie eine Meldepflicht, anzuordnen. 2. Unter Kosten- und Entschädigungsfolge.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 b/aa). 2. Im vorliegenden Fall wurde der Gesuchsgegner am 1. Oktober 2024, 08.00 Uhr, aus der Untersuchungshaft entlassen und dem MIKA zugeführt. Die mündliche Verhandlung begann am 3. Oktober 2024, 11.35 Uhr; das Urteil wurde um 12.10 Uhr eröffnet. Die richterliche Haftüberprüfung er- 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w:t>
      </w:r>
    </w:p>
    <w:p>
      <w:r>
        <w:t>- 5 -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w:t>
      </w:r>
    </w:p>
    <w:p>
      <w:r>
        <w:t>- 6 - Vorkommnisse der Fall sein. Erforderlich sind gewichtige Anhaltspunkte dafür, dass die betroffene Person sich der Ausschaffung entziehen und un- tertauchen will. Die blosse Vermutung, dass sie sich der Wegweisung ent- ziehen könnte, genügt nicht; deren Vollzug muss erheblich gefährdet er- 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JANINE SERT, in: MARTINA CARONI/DANIELA THURNHERR [Hrsg.], Stämpflis Handkommentar zum Ausländer- und Integ- rationsgesetz [AIG], 2. Aufl., Bern 2024, N. 17 zu Art. 76).</w:t>
      </w:r>
    </w:p>
    <w:p>
      <w:r>
        <w:rPr>
          <w:b/>
        </w:rPr>
        <w:t>E. 3.2</w:t>
      </w:r>
    </w:p>
    <w:p>
      <w:r>
        <w:t>Der Gesuchsgegner ist aufgrund des durch das SEM angeordneten Weg- weisungsentscheides dazu verpflichtet, die Schweiz zu verlassen (MI- act. 104). Da dieser Entscheid unangefochten in Rechtskraft erwachsen ist, hätte der Gesuchsgegner die Schweiz spätestens bis zum 19. April 2024 verlassen müssen (MI-act. 106). Der Gesuchsgegner äusserte sich in der Vergangenheit, zuletzt anlässlich der Gewährung des rechtlichen Gehörs vom 1. Oktober 2024, wiederholt dahingehend, er sei nicht dazu bereit, die Schweiz freiwillig in Richtung Tunesien zu verlassen, auch wenn ihm finan- zielle Unterstützung gewährt würde (MI-act. 128, 162 ff.). Erst anlässlich der heutigen Verhandlung erklärte er sich zur selbständigen Ausreise be- reit, sofern er finanzielle Unterstützung erhalte (Protokoll S. 3, act. 38). Bei seiner Einreise in die Schweiz bediente sich der Gesuchsgegner zudem einer falschen Identität, welche er am 19. Februar 2023 handschriftlich be- stätigte (MI-act. 7). Wer eine falsche Identität verwendet, bietet gemäss ständiger Praxis des Verwaltungsgerichts sowie auch des Bundesgerichts keine Gewähr für eine selbständige Ausreise (vgl. Entscheid des Verwal- tungsgerichts WPR.2016.49 vom 21. März 2016, Erw. 3.2; BGE 122 II 49, Erw. 2a). Vielmehr ist in Fällen wie dem Vorliegenden von einer Untertau- chensgefahr auszugehen. Zuletzt gab der Gesuchsgegner anlässlich der heutigen Verhandlung zu, in der jüngsten Vergangenheit an einem Ein- bruchdiebstahl in Q._____ beteiligt gewesen und dabei von einer Polizei- patrouille auf frischer Tat ertappt worden zu sein (Protokoll S. 3, act. 38). Mit einer solchen Verhaltensweise unterstreicht der Gesuchsgegner seine Haltung, die hierzulande geltende Rechtsordnung nicht respektieren zu</w:t>
      </w:r>
    </w:p>
    <w:p>
      <w:r>
        <w:t>- 7 - wollen und bietet dementsprechend keinerlei Gewähr dafür, bei einer allfäl- ligen Haftentlassung die Schweiz ordnungsgemäss zu verlassen. Nach dem Gesagten erscheint die vom Gesuchsgegner heute geäusserte Ausreisebereitschaft als reine Schutzbehauptung; mit seinem gesamten bisherigen Verhalten, insbesondere der konstanten Weigerung zur freiwil- ligen Ausreise nach Tunesien, hat der Gesuchsgegner klare Anzeichen für eine Untertauchensgefahr gesetzt. Daran ändern auch die von seinem Rechtsvertreter anlässlich der heutigen Verhandlung vorgetragenen Ein- wände (act. 40 ff.) nichts. Damit ist der Haftgrund von Art. 76 Abs. 1 lit. b Ziff. 3 und 4 AIG erfüllt.</w:t>
      </w:r>
    </w:p>
    <w:p>
      <w:r>
        <w:rPr>
          <w:b/>
        </w:rPr>
        <w:t>E. 4</w:t>
      </w:r>
    </w:p>
    <w:p>
      <w:r>
        <w:t>Bezüglich der Haftbedingungen liegen keine Beanstandungen vor (Proto- koll S. 3, act. 38).</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entgegen der Ansicht des Rechtsvertreters des Gesuchsgegners kommt auch eine Meldepflicht nicht in Frage (act. 41 f.). Der Gesuchsgegner könnte sich diesfalls bis zur ihm drohenden Ausschaffung den Behörden zur Verfügung halten und kurz vor der geplanten Ausreise untertauchen. Ist die Untertauchensgefahr, wie im vorliegenden Fall, erstellt, so scheiden mildere Massnahmen regelmäs- sig aus. Bezüglich der familiären Verhältnisse ergeben sich keine Anhaltspunkte, welche gegen eine Haftanordnung sprechen würden. Der Gesuchsgegner macht auch nicht geltend, er sei nicht hafterstehungsfähig. Insgesamt sind</w:t>
      </w:r>
    </w:p>
    <w:p>
      <w:r>
        <w:t>- 8 - keinerlei Gründe ersichtlich, welche die angeordnete Haft als unverhältnis- 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 senzverhandlung verlangt oder mit einer Skype-Verhandlung einverstan- den ist (Urteil des Bundesgerichts 2C_846/2021 vom 19. November 2021). Die Anordnung einer allfälligen Haftverlängerung ist dem Verwaltungsge- richt spätestens acht Arbeitstage vor Ablauf der bewilligten Haft einzu- reichen. 3. Der vorliegende Entscheid wurde den Parteien zusammen mit einer kurzen Begründung anlässlich der heutigen Verhandlung mündlich eröffnet. Das Dispositiv wurde den Parteien ausgehändigt.</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