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WPR.2024.87 vom 30. September 2024</w:t>
      </w:r>
    </w:p>
    <w:p>
      <w:r>
        <w:t>AG Verwaltungsgericht, 2024-09-30, DE</w:t>
      </w:r>
    </w:p>
    <w:p>
      <w:r>
        <w:rPr>
          <w:b/>
        </w:rPr>
        <w:t xml:space="preserve">Quelle: </w:t>
      </w:r>
      <w:r>
        <w:t>https://mcp.opencaselaw.ch/entscheid/ag_verwaltungsgericht_WPR.2024.87</w:t>
      </w:r>
    </w:p>
    <w:p>
      <w:r>
        <w:t>FR: AG_VERWALTUNGSGERICHT WPR.2024.87 du 30 septembre 2024</w:t>
      </w:r>
    </w:p>
    <w:p>
      <w:r>
        <w:t>IT: AG_VERWALTUNGSGERICHT WPR.2024.87 del 30 settembre 2024</w:t>
      </w:r>
    </w:p>
    <w:p>
      <w:pPr>
        <w:pStyle w:val="Heading2"/>
      </w:pPr>
      <w:r>
        <w:t>Erwägungen</w:t>
      </w:r>
    </w:p>
    <w:p>
      <w:r>
        <w:rPr>
          <w:b/>
        </w:rPr>
        <w:t>E. 2</w:t>
      </w:r>
    </w:p>
    <w:p>
      <w:r>
        <w:t>Die Haft beginnt am 30. September 2024, 08.00 Uhr. Sie wird in Anwen- dung von Art. 76 AIG für drei Monate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vom 11. Mai 2023 lehnte das SEM das Asylgesuch des Ge- suchsgegners ab und wies ihn aus der Schweiz und dem Schengen-Raum weg (MI-act. 147 ff.). Diese Verfügung erwuchs unangefochten in Rechts- kraft (MI-act. 169). Ferner wurde der Gesuchsgegner mit Urteil des Bezirks- gerichts Lenzburg vom 6. Mai 2024 für eine Dauer von fünf Jahren des Lan- des verwiesen (MI-act. 77 ff.). Dieses Urteil ist ebenfalls unangefochten in Rechtskraft erwachsen (MI-act. 171). Damit liegen ein rechtskräftiger Weg- weisungsentscheid und eine rechtskräftige Landesverweisung vor.</w:t>
      </w:r>
    </w:p>
    <w:p>
      <w:r>
        <w:rPr>
          <w:b/>
        </w:rPr>
        <w:t>E. 2.3</w:t>
      </w:r>
    </w:p>
    <w:p>
      <w:r>
        <w:t>Gemäss Art. 80 Abs. 6 lit. a AIG ist die Haft zu beenden, wenn sich erweist, dass der Vollzug der Wegweisung aus rechtlichen oder tatsächlichen Grün- den undurchführbar ist. Der Gesuchsgegner wird gemäss Mitteilung des SEM vom 23. September 2024 zu einem Counselling-Termin im November eingeladen (MI-act. 160). Nachdem diesbezüglich im Moment keine Zweifel bestehen (Protokoll S. 1 ff., act. 29 ff.), ist davon auszugehen, dass der Gesuchsgegner spä- testens bis Ende November 2024 an einem Counselling wird teilnehmen können. Entgegen den Ausführungen des Rechtsvertreters des Gesuchs- gegners (act. 35), ist aufgrund des Fehlens eines genauen Datums für das Counselling nicht davon auszugehen, es fehle an einer Vollzugsperspek- tive, zumal bis zum Ende der maximal zulässigen Haftdauergenügend Zeit besteht, die Wegweisung zu vollziehen.</w:t>
      </w:r>
    </w:p>
    <w:p>
      <w:r>
        <w:t>- 6 - Weitere Anzeichen, die an der Ausschaffungsmöglichkeit in rechtlicher oder tatsächlicher Hinsicht Zweifel aufkommen lassen würden, sind eben- falls keine ersichtlich.</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w:t>
      </w:r>
    </w:p>
    <w:p>
      <w:r>
        <w:t>- 4 - C. Anlässlich der heutigen Verhandlung vor dem Einzelrichter des Verwal- tungsgerichts wurden der Gesuchsteller und der Gesuchsgegner befragt. D. Der Gesuchsteller beantragte die Bestätigung der Haftanordnung (Proto- koll S. 4, act. 32). Der Gesuchsgegner liess folgende Anträge stellen (Protokoll S. 4, act. 32): 1. Die mit Verfügung vom 24. September 2024 angeordnete Ausschaffungs- haft des MIKA sei nicht zu bestätigen. Der Gesuchsgegner sei unverzüg- lich aus der Haft zu entlassen. 2. Unter Kosten- und Entschädigungsfolge.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 2. Im vorliegenden Fall wurde der Gesuchsgegner am 30. September 2024, 08.00 Uhr, aus dem Strafvollzug entlassen. Die mündliche Verhandlung be- gann am 30. September 2024, 11.30 Uhr; das Urteil wurde um 12.10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w:t>
      </w:r>
    </w:p>
    <w:p>
      <w:r>
        <w:t>- 5 - Zuständige kantonale Behörde im Sinne von Art. 76 Abs. 1 AIG ist gemäss § 13 Abs. 1 EGAR sowie § 89 der Verordnung über den Vollzug von Stra- fen und Massnahmen vom 23. September 2020 (Strafvollzugsverordnung, SMV; SAR 253.112) das MIKA. Im vorliegenden Fall wurde die Haftanord- 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JANINE SERT, in: MARTINA CARONI/DANIELA THURNHERR [Hrsg.], Stämpflis Handkommentar zum Ausländer- und Integ- rationsgesetz [AIG], 2. Aufl., Bern 2024, N. 17 zu Art. 76). Der Gesuchsgegner ist aufgrund der gestützt auf Art. 66a Abs. 1 StGB an- geordneten Landesverweisung (MI-act. 86) verpflichtet, die Schweiz zu verlassen. Er äusserte sich zuletzt anlässlich der Gewährung des rechtli- chen Gehörs vom 24. September 2024 dahingehend, er sei nicht bereit, die Schweiz in Richtung Algerien zu verlassen (MI-act. 165). Erst anlässlich der heutigen Verhandlung gab der Gesuchsgegner zu Protokoll, er sei dazu bereit, die Schweiz in Richtung Algerien zu verlassen, wolle eine Freiwillig- keitserklärung unterzeichnen und könne seinen originalen und noch bis</w:t>
      </w:r>
    </w:p>
    <w:p>
      <w:r>
        <w:t>- 7 - 2026 oder 2027 gültigen Reisepass besorgen (Protokoll S. 3, act. 31). In Anbetracht seines bisherigen Verhaltens erscheinen diese Zusicherungen wenig glaubhaft. So musste das SEM aufgrund der fehlenden Kooperati- onsbereitschaft des Gesuchsgegners den Weg der Papierbeschaffung über das algerische Konsulat begehen (MI-act. 64 ff.). Zudem hat sich der Gesuchsgegner in der Vergangenheit trotz laufenden Asylverfahrens den Behörden nicht zur Verfügung gehalten. Seine Weigerung, behördlichen Anordnungen nachzukommen, unterstrich der Gesuchsgegner zuletzt an- lässlich der heutigen Verhandlung, indem er angab, er werde nach spätes- tens 20 Tagen erneut in ein europäisches Land einreisen (Protokoll S. 3, act. 31), und dies obschon er rechtskräftig aus dem gesamten Schengen- Raum weggewiesen worden war (MI-act. 151). Unter diesen Umständen ist die vom Gesuchsgegner anlässlich der heutigen Verhandlung geäusserte Kooperationsbereitschaft als reine Schutzbehauptung zur Abwendung der drohenden Ausschaffungshaft zu qualifizieren. Nach dem Gesagten ergibt sich, dass der Gesuchsgegner mit seinem bis- herigen Verhalten klare Anzeichen für eine Untertauchensgefahr gesetzt hat und es ist nicht davon auszugehen, dass er nach einer Entlassung aus der Ausschaffungshaft die Schweiz auf direktem Weg freiwillig in Richtung Algerien verlassen würde. Damit ist der Haftgrund von Art. 76 Abs. 1 lit. b Ziff. 3 und 4 AIG erfüllt.</w:t>
      </w:r>
    </w:p>
    <w:p>
      <w:r>
        <w:rPr>
          <w:b/>
        </w:rPr>
        <w:t>E. 3.2</w:t>
      </w:r>
    </w:p>
    <w:p>
      <w:r>
        <w:t>Weiter stützt das MIKA seine Haftanordnung auf Art. 76 Abs. 1 lit. b Ziff. 1 i.V.m. Art. 75 Abs. 1 lit. h AIG, wonach eine Person in Haft genommen wer- den kann, wenn sie wegen eines Verbrechens verurteilt worden ist. Verbre- chen sind gemäss Art. 10 Abs. 2 StGB Taten, die mit einer Freiheitsstrafe von mehr als drei Jahren bedroht sind. Für den Haftgrund nach Art. 76 Abs. 1 lit. b Ziff. 1 i.V.m. Art. 75 Abs. 1 lit. h AIG ist erforderlich, dass eine rechtskräftige Verurteilung vorliegt (ZÜND, a.a.O., N. 12 zu Art. 75 AIG). Gemäss konstanter bundesgerichtlicher Rechtsprechung ist keine Prog- nose darüber erforderlich, ob sich der Ausländer dem Vollzug der Wegwei- sung tatsächlich entziehen wird. Vielmehr besteht aufgrund der schweren Straffälligkeit eine gesetzliche Vermutung, dass sich eine wegen eines Ver- brechens verurteilte Person behördlichen Anordnungen widersetzen und versuchen wird, sich der Ausschaffung zu entziehen (Urteile des Bundes- gerichts 2C_455/2009 vom 5. August 2009, Erw. 2.1 und 2C_312/2018 vom 11. Mai 2018, Erw. 3.2). Das Bezirksgericht Lenzburg hat den Gesuchsgegner mit Urteil vom 6. Mai 2024 unter anderem wegen mehrfachen Diebstahls nach Art. 139 Ziff. 1 StGB zu einer Freiheitsstrafe von acht Monaten und fünf Jahren Landes- verweis rechtskräftig verurteilt (MI-act. 77 ff., 169). Nachdem Diebstahl nach Art. 139 Ziff. 1 StGB mit Freiheitsstrafe von bis zu fünf Jahren</w:t>
      </w:r>
    </w:p>
    <w:p>
      <w:r>
        <w:t>- 8 - geahndet wird und Verbrechen als Taten definiert werden, die mit Freiheits- strafe von mehr als drei Jahren bedroht sind (Art. 10 Abs. 2 StGB), steht fest, dass der Gesuchsgegner rechtskräftig wegen eines Verbrechens ver- urteilt wurde. Liegt ein Haftgrund vor, weil die betroffene Person wegen eines Verbre- chens verurteilt wurde, kann sich die Anordnung einer Haft allenfalls dann als nicht notwendig und damit unverhältnismässig erweisen, wenn sich die betroffene Person proaktiv um eine Rückkehr in ihr Heimatland bemüht und so ihre Ausreisebereitschaft untermauert. Ein derartiges Verhalten ist beim Gesuchsgegner jedoch, wie unter Erw. II/3.2 dargelegt, nicht erkennbar. Nach dem Gesagten ist der Haftgrund von Art. 76 Abs. 1 lit. b Ziff. 1 i.V.m. Art. 75 Abs. 1 lit. h AIG ebenfalls erfüllt.</w:t>
      </w:r>
    </w:p>
    <w:p>
      <w:r>
        <w:rPr>
          <w:b/>
        </w:rPr>
        <w:t>E. 3.3</w:t>
      </w:r>
    </w:p>
    <w:p>
      <w:r>
        <w:t>Zusammenfassend steht fest, dass die Haftgründe gemäss Art. 76 Abs. 1 lit. b Ziff. 3 und Ziff. 4 AIG (Untertauchensgefahr) sowie gemäss Art. 76 Abs. 1 lit. b Ziff. 1 i.V.m. Art. 75 Abs. 1 lit. h AIG (Verurteilung wegen eines Verbrechens) erfüllt sind.</w:t>
      </w:r>
    </w:p>
    <w:p>
      <w:r>
        <w:rPr>
          <w:b/>
        </w:rPr>
        <w:t>E. 4</w:t>
      </w:r>
    </w:p>
    <w:p>
      <w:r>
        <w:t>Da die heutige Verhandlung direkt im Anschluss an das Ende des Strafvoll- zugs des Gesuchsgegners stattgefunden hat, erübrigen sich Erwägungen zu den Haftbedingungen.</w:t>
      </w:r>
    </w:p>
    <w:p>
      <w:r>
        <w:rPr>
          <w:b/>
        </w:rPr>
        <w:t>E. 5</w:t>
      </w:r>
    </w:p>
    <w:p>
      <w:r>
        <w:t>Entgegen den Ausführungen des Rechtsvertreters des Gesuchsgegners (act. 35) stellt das kurze Zuwarten des MIKA nach erfolgreicher Identifika- tion des Gesuchsgegners keine Verletzung des Beschleunigungsgebots dar. Auch sonst liegen keine Anzeichen dafür vor, dass das MIKA dem Be- schleunigungsgebot (Art. 76 Abs. 4 AIG) nicht ausreichend Beachtung ge- 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t>- 9 -</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aufgrund der vom Gesuchsgegner aus- gehenden Untertauchensgefahr nicht ersichtlich. Bezüglich der familiären Verhältnisse ergeben sich keine Anhaltspunkte, welche gegen eine Haftan- ordnung sprechen würden. Der Gesuchsgegner macht auch nicht geltend, er sei nicht hafterstehungsfähig. Insgesamt sind keinerlei Gründe ersicht- lich, welche die angeordnete Haft als unverhältnismässig erscheinen lies- 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 senzverhandlung verlangt oder mit einer Skype-Verhandlung einverstan- den ist (Urteil des Bundesgerichts 2C_846/2021 vom 19. November 2021). Die Anordnung einer allfälligen Haftverlängerung ist dem Verwaltungsge- richt spätestens acht Arbeitstage vor Ablauf der bewilligten Haft einzu- reichen.</w:t>
      </w:r>
    </w:p>
    <w:p>
      <w:r>
        <w:t>- 10 - 3.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