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WPR.2024.82 vom 5. September 2024</w:t>
      </w:r>
    </w:p>
    <w:p>
      <w:r>
        <w:t>AG Verwaltungsgericht, 2024-09-05, DE</w:t>
      </w:r>
    </w:p>
    <w:p>
      <w:r>
        <w:rPr>
          <w:b/>
        </w:rPr>
        <w:t xml:space="preserve">Quelle: </w:t>
      </w:r>
      <w:r>
        <w:t>https://mcp.opencaselaw.ch/entscheid/ag_verwaltungsgericht_WPR.2024.82</w:t>
      </w:r>
    </w:p>
    <w:p>
      <w:r>
        <w:t>FR: AG_VERWALTUNGSGERICHT WPR.2024.82 du 5 septembre 2024</w:t>
      </w:r>
    </w:p>
    <w:p>
      <w:r>
        <w:t>IT: AG_VERWALTUNGSGERICHT WPR.2024.82 del 5 settembre 2024</w:t>
      </w:r>
    </w:p>
    <w:p>
      <w:pPr>
        <w:pStyle w:val="Heading2"/>
      </w:pPr>
      <w:r>
        <w:t>Erwägungen</w:t>
      </w:r>
    </w:p>
    <w:p>
      <w:r>
        <w:rPr>
          <w:b/>
        </w:rPr>
        <w:t>E. 2</w:t>
      </w:r>
    </w:p>
    <w:p>
      <w:r>
        <w:t>Im vorliegenden Fall wurde die bestehende Haft bis zum 11. September 2024, 12.00 Uhr, bestätigt (Entscheid des Verwaltungsgerichts WPR.2024.60 vom 4. Juli 2024; MI-act. 1018 ff.). Am 29. August 2024 ordnete das MIKA die Haftverlängerung an (act. 1 ff.). Anlässlich der Gewährung des rechtlichen Gehörs verzichtete der Gesuchsgegner auf die Durchführung einer mündlichen Verhandlung zur Überprüfung der angeordneten Haftverlängerung (act. 5).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w:t>
      </w:r>
    </w:p>
    <w:p>
      <w:r>
        <w:t>- 6 - 13.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oder eine rechtskräftige Landesverweisung vorliegt. Wie bereits mit Urteil betreffend Anordnung der Durchsetzungshaft vom 13. Dezember 2023 festgestellt wurde, liegt mit Verfügung des MIKA vom 22. April 2020 ein rechtskräftiger Wegweisungsentscheid gegen den Gesuchsgegner vor (MI-act. 573 ff., 594). Weiter wurde er mit Strafurteil des Bezirksgerichts Aarau vom 17. November 2022 für sieben Jahre des Landes verwiesen. Auch dieser Entscheid erwuchs unangefochten in Rechtskraft (MI-act. 760 ff.). Damit liegt neben einem rechtskräftigen Wegweisungsentscheid auch eine rechtskräftige erstinstanzliche Landes- verweisung vor (Entscheid des Verwaltungsgerichts WPR.2023.107 vom 13.Dezember 2023, Erw. 11/2.2; MI-act. 914 ff.).</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t>- 7 -</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13. Dezember 2023 festgestellt wurde, war der Gesuchsgegner nicht be- reit, freiwillig in sein Heimatland zurückzukehren bzw. an der Beschaffung von Identitäts- oder Reisedokumenten mitzuwirken, infolgedessen seine Wegweisung bzw. die Landesverweisung, mangels zu seiner Identifizie- rung notwendiger Identitätsdokumente, aufgrund des persönlichen Verhal- tens des Gesuchsgegners nicht vollzogen werden konnte (vgl. Entscheid des Verwaltungsgerichts WPR.2023.107 vom 13. Dezember 2023, Erw. II/2.4 f., MI-act. 914 ff.). Daran hat sich bis heute nichts geändert. Der Gesuchsgegner signalisierte anlässlich der Gewährung des rechtlichen Gehörs vom 29. August 2024 keinerlei Kooperationsbereitschaft (MI-act. 1032 ff.). Auch das in der Stellungnahme vom 4. September 2024 vorgebrachte Argument des Rechtsvertreters des Gesuchsgegners, wonach das MIKA keinerlei Bemühungen anstelle, den Gesuchsgegner dem ägyptischen Konsul zwecks Herkunftsabklärung vorzustellen (act. 9), vermag an dieser Einschätzung nichts zu ändern. Es ist nochmals darauf hinzuweisen, dass der ägyptische Konsul die Durchführung einer weiteren Anhörung nur deshalb abgelehnt hat, weil sich der Gesuchsgegner anlässlich der bisherigen Gespräche unkooperativ verhalten hat. Der neue ägyptische Konsul erklärte daher, eine weitere Anhörung nur bei Vorliegen neuer Informationen durchführen zu wollen (MI-act. 891). Selbst bei einer möglichen Vereinbarung eines weiteren Gesprächs ist daher die Kooperation des Gesuchsgegners unabdinglich, da ein Gespräch ohne seine aktive Mitwirkung keine Fortschritte bringen würde. Diese Mitwirkungspflicht ist dem Gesuchsgegner bewusst und dennoch äusserte er sich anlässlich der Gewährung des rechtlichen Gehörs vom 29. August 2024 dahingehend, er sei nicht bereit, den ägyptischen Konsul nochmals zu sehen (act. 5). Solange der Gesuchsgegner keine konkreten und auch belegten Schritte zur Papierbeschaffung unternimmt und die Kontaktaufnahme mit dem ägyptischen Konsul verweigert, ist davon auszugehen, dass seine Wegweisung auf Grund seines persönlichen Verhaltens nicht vollzogen werden kann, womit diese Voraussetzung für die Fortsetzung der Durchsetzungshaft weiterhin erfüllt ist.</w:t>
      </w:r>
    </w:p>
    <w:p>
      <w:r>
        <w:t>- 8 -</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da keine Reisedokumente vorliegen. Eine Ausschaffungs- perspektive besteht nicht, da die Beschaffung von Identitätsdokumenten von der Mitwirkung des Gesuchsgegners abhängt, welche dieser jedoch verweigert, womit die Anordnung einer Ausschaffungshaft unzulässig ist (vgl. Art. 80 Abs. 6 lit. a AIG). Inwiefern eine andere, mildere Massnahme zum Ziel führen könnte, ist nicht ersichtlich und wird auch nicht geltend gemacht. Vielmehr übt offenbar einzig die weitere Verlängerung der Durchsetzungshaft genügend Druck auf den Gesuchsgegner aus, um eine Verhaltensänderung zu erwirken.</w:t>
      </w:r>
    </w:p>
    <w:p>
      <w:r>
        <w:rPr>
          <w:b/>
        </w:rPr>
        <w:t>E. 2.6</w:t>
      </w:r>
    </w:p>
    <w:p>
      <w:r>
        <w:t>Nach dem Gesagten sind die Voraussetzungen für die Verlängerung der Durchsetzungshaft erfüllt.</w:t>
      </w:r>
    </w:p>
    <w:p>
      <w:r>
        <w:rPr>
          <w:b/>
        </w:rPr>
        <w:t>E. 3</w:t>
      </w:r>
    </w:p>
    <w:p>
      <w:r>
        <w:t>Bezüglich der Haftbedingungen liegen keine Beanstandungen vor (act. 5).</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elf Monaten in ausländerrechtlicher Haft im Sinne von Art. 75 - 78 AIG (Ausschaffungshaft 5. Oktober 2023 –</w:t>
      </w:r>
    </w:p>
    <w:p>
      <w:r>
        <w:t>- 9 - 12. Dezember 2023; Durchsetzungshaft 12. Dezember 2023 – 11. September 2024). Die sechsmonatige Frist hat damit bereits am 5. April 2024 geendet und die Haft kann längstens bis zum 5. April 2025 verlängert werden.</w:t>
      </w:r>
    </w:p>
    <w:p>
      <w:r>
        <w:rPr>
          <w:b/>
        </w:rPr>
        <w:t>E. 5.3</w:t>
      </w:r>
    </w:p>
    <w:p>
      <w:r>
        <w:t>Das MIKA ordnete mit Verfügung vom 29. August 2024 die Verlängerung der Durchsetzungshaft um weitere zwei Monate, d.h. bis zum 11. November 2024, an. Mit der Verlängerung der Durchsetzungshaft um zwei Monate wird die Dauer von sechs Monaten überschritten, womit die Voraussetzungen von Art. 79 Abs. 2 AIG erfüllt sein müssen. Der Gesuchsgegner hat nach wie vor keine Identitätspapiere beschafft, die zu seiner Identifizierung als ägyptischer Staatsangehöriger und damit zur Ausstellung eines Ersatzreisepapiers notwendig wären. Dies, obwohl er an- lässlich früherer Befragungen durch das MIKA wiederholt seine Kooperationsbereitschaft signalisierte, diese aber wiederholt von weiteren Bedingungen abhängig machte (MI-act. 975, 1007). Seine Renitenz brachte der Gesuchsgegner ausserdem durch seine Weigerung, jemals wieder Kontakt zum ägyptischen Konsul aufzunehmen, zum Ausdruck (MI- act. 1033), was die Papierbeschaffung auch künftig praktisch verun- möglicht, sollte der Gesuchsgegner sein Verhalten nicht ändern. Damit ist die Voraussetzung von Art. 79 Abs. 2 lit. a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unter Beweis zu stellen und die Haft durch Beschaffung von Reisedoku- menten und durch anschliessende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w:t>
      </w:r>
    </w:p>
    <w:p>
      <w:r>
        <w:t>- 10 - Insgesamt sind keinerlei Gründe ersichtlich, welche die Verlängerung der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