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WPR.2024.81 vom 5. September 2024</w:t>
      </w:r>
    </w:p>
    <w:p>
      <w:r>
        <w:t>AG Verwaltungsgericht, 2024-09-05, DE</w:t>
      </w:r>
    </w:p>
    <w:p>
      <w:r>
        <w:rPr>
          <w:b/>
        </w:rPr>
        <w:t xml:space="preserve">Quelle: </w:t>
      </w:r>
      <w:r>
        <w:t>https://mcp.opencaselaw.ch/entscheid/ag_verwaltungsgericht_WPR.2024.81</w:t>
      </w:r>
    </w:p>
    <w:p>
      <w:r>
        <w:t>FR: AG_VERWALTUNGSGERICHT WPR.2024.81 du 5 septembre 2024</w:t>
      </w:r>
    </w:p>
    <w:p>
      <w:r>
        <w:t>IT: AG_VERWALTUNGSGERICHT WPR.2024.81 del 5 settembre 2024</w:t>
      </w:r>
    </w:p>
    <w:p>
      <w:pPr>
        <w:pStyle w:val="Heading2"/>
      </w:pPr>
      <w:r>
        <w:t>Erwägungen</w:t>
      </w:r>
    </w:p>
    <w:p>
      <w:r>
        <w:rPr>
          <w:b/>
        </w:rPr>
        <w:t>E. 2</w:t>
      </w:r>
    </w:p>
    <w:p>
      <w:r>
        <w:t>September 2024 die Teilnahme des Gesuchsgegners am nächsten Counselling bestätigte (MI-act. 323). B. Im Rahmen der Befragung durch das MIKA wurde dem Gesuchsgegner am</w:t>
      </w:r>
    </w:p>
    <w:p>
      <w:r>
        <w:rPr>
          <w:b/>
        </w:rPr>
        <w:t>E. 2.1</w:t>
      </w:r>
    </w:p>
    <w:p>
      <w:r>
        <w:t>Das MIKA begründet seine Haftanordnung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w:t>
      </w:r>
    </w:p>
    <w:p>
      <w:r>
        <w:t>- 6 - Mit Urteil vom 2. November 2023 wurde der Gesuchsgegner durch das Bezirksgericht Aarau gestützt auf Art. 66a Abs. 1 lit. c und d StGB für acht Jahre aus der Schweiz verwiesen (MI-act. 77 ff.). Das Urteil erwuchs in der Folge unangefochten in Rechtskraft (MI-act. 77, 99). Damit liegt eine rechtsgenügliche Landesverweisung vor.</w:t>
      </w:r>
    </w:p>
    <w:p>
      <w:r>
        <w:rPr>
          <w:b/>
        </w:rPr>
        <w:t>E. 2.3</w:t>
      </w:r>
    </w:p>
    <w:p>
      <w:r>
        <w:t>Gemäss Art. 80 Abs. 6 lit. a AIG ist die Haft zu beenden, wenn sich erweist, dass der Vollzug der Wegweisung aus rechtlichen oder tatsächlichen Gründen undurchführbar ist. Nachdem der Gesuchsgegner inzwischen durch die algerischen Behörden identifiziert wurde, sind keine Anzeichen vorhanden, die an der Ausschaffungsmöglichkeit in tatsächlicher oder rechtlicher Hinsicht Zweifel aufkommen lassen würden. 3.</w:t>
      </w:r>
    </w:p>
    <w:p>
      <w:r>
        <w:rPr>
          <w:b/>
        </w:rPr>
        <w:t>E. 3</w:t>
      </w:r>
    </w:p>
    <w:p>
      <w:r>
        <w:t>Die zuletzt am 8. August 2024 verlängerte und bis zum 19. Oktober 2024 bestätigte Durchsetzungshaft wird hiermit beendet.</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w:t>
      </w:r>
    </w:p>
    <w:p>
      <w:r>
        <w:t>- 7 - Migrationsrecht, 5. Aufl., Zürich 2019, N. 7 zu Art. 76 AIG und JANINE SERT, in: MARTINA CARONI/DANIELA THURNHERR [Hrsg.], Stämpflis Handkom- mentar zum Ausländer- und Integrationsgesetz [AIG], 2. Aufl., Bern 2024, N. 17 zu Art. 76). Der Gesuchsgegner ist aufgrund des rechtskräftigen Wegweisungs- entscheids des SEM (MI-act. 29 ff., 38) sowie aufgrund der rechtskräftigen Landesverweisung gemäss Art. 66a Abs. 1 lit. c und d StGB (MI-act. 77 ff.) verpflichtet, die Schweiz zu verlassen. Er äusserte sich wiederholt, zuletzt anlässlich der heutigen Verhandlung, dahingehend, er sei nicht bereit, die Schweiz in Richtung Algerien zu verlassen (MI-act. 60; 123, 140; Protokoll S. 4, act. 31). In der stetigen Weigerung, der Ausreisepflicht nachzukommen, ist ein klares Anzeichen dafür zu erkennen, dass sich der Gesuchsgegner der Ausschaffung entziehen will. Weiter hat sich der Gesuchsgegner durchgehend geweigert, bei der Beschaffung von Ausweispapieren oder bei der Feststellung seiner Identität mitzuwirken (MI- act. 194, 255, 283). Der Gesuchsgegner hat damit seine Mitwirkungspflicht nach Art. 90 lit. c AIG sowie Art. 8 Abs. 4 AsylG verletzt, was ein weiteres Anzeichen dafür ist, dass sich der Gesuchsgegner der Ausschaffung entziehen will (vgl. BGE 130 II 377, Erw. 3.2.2). Damit ist der Haftgrund von Art. 76 Abs. 1 lit. b Ziff. 3 und 4 AIG erfüllt.</w:t>
      </w:r>
    </w:p>
    <w:p>
      <w:r>
        <w:rPr>
          <w:b/>
        </w:rPr>
        <w:t>E. 3.2</w:t>
      </w:r>
    </w:p>
    <w:p>
      <w:r>
        <w:t>Weiter stützt das MIKA seine Haftanordnung auf Art. 76 Abs. 1 lit. b Ziff. 1 i.V.m. Art. 75 Abs. 1 lit. h AIG, wonach eine Person in Haft genommen werden kann, wenn sie wegen eines Verbrechens verurteilt worden ist. Ver- brechen sind gemäss Art. 10 Abs. 2 StGB Taten, die mit einer Freiheits- strafe von mehr als drei Jahren bedroht sind. Für den Haftgrund nach Art. 76 Abs. 1 lit. b Ziff. 1 i.V.m. Art. 75 Abs. 1 lit. h AIG ist erforderlich, dass eine rechtskräftige Verurteilung vorliegt (Zünd, a.a.O., N. 12 zu Art. 75 AIG). Gemäss konstanter bundesgerichtlicher Rechtsprechung ist keine Prog- nose darüber erforderlich, ob sich der Ausländer dem Vollzug der Weg- weisung tatsächlich entziehen wird. Vielmehr besteht aufgrund der schweren Straffälligkeit eine gesetzliche Vermutung, dass sich eine wegen eines Verbrechens verurteilte Person behördlichen Anordnungen wider- setzen und versuchen wird, sich der Ausschaffung zu entziehen (Urteile des Bundesgerichts 2C_455/2009 vom 5. August 2009, Erw. 2.1 und 2C_312/2018 vom 11. Mai 2018, Erw. 3.2). Das Bezirksgericht Aarau hat den Gesuchsgegner mit Urteil vom 2. November 2023 unter anderem wegen gewerbs- und bandenmässigen Diebstahls nach Art. 139 Ziff. 1, 2 und 3 StGB (in der damals geltenden Fassung) rechtskräftig verurteilt (MI-act. 77 ff.). Nach der damals geltenden Fassung von Art. 139 Ziff. 2 und 3 StGB war die Höchststrafe für gewerbs-</w:t>
      </w:r>
    </w:p>
    <w:p>
      <w:r>
        <w:t>- 8 - mässigen Diebstahl Freiheitsstrafe bis zu zehn Jahren oder Geldstrafe nicht unter 90 Tagessätzen bzw. für bandenmässigen Diebstahl Freiheitsstrafe von sechs Monaten bis zu zehn Jahren, weshalb diese beiden Straftatbestände ein Verbrechen nach Art. 10 Abs. 2 StGB darstellen. Liegt ein Haftgrund vor, weil die betroffene Person wegen eines Verbre- chens verurteilt wurde, kann sich die Anordnung einer Haft allenfalls dann als nicht notwendig und damit unverhältnismässig erweisen, wenn sich die betroffene Person proaktiv um eine Rückkehr in ihr Heimatland bemüht und so ihre Ausreisebereitschaft untermauert. Ein derartiges Verhalten ist beim Gesuchsgegner jedoch nicht erkennbar. Nach dem Gesagten ist der Haftgrund von Art. 76 Abs. 1 lit. b Ziff. 1 i.V.m. Art. 75 Abs. 1 lit. h AIG ebenfalls erfüllt.</w:t>
      </w:r>
    </w:p>
    <w:p>
      <w:r>
        <w:rPr>
          <w:b/>
        </w:rPr>
        <w:t>E. 3.3</w:t>
      </w:r>
    </w:p>
    <w:p>
      <w:r>
        <w:t>Zusammenfassend steht fest, dass die Haftgründe gemäss Art. 76 Abs. 1 lit. b Ziff. 3 und Ziff. 4 AIG (Untertauchensgefahr) sowie gemäss Art. 76 Abs. 1 lit. b Ziff. 1 i.V.m. Art. 75 Abs. 1 lit. h AIG (Verurteilung wegen eines Verbrechens) erfüllt sind.</w:t>
      </w:r>
    </w:p>
    <w:p>
      <w:r>
        <w:rPr>
          <w:b/>
        </w:rPr>
        <w:t>E. 4</w:t>
      </w:r>
    </w:p>
    <w:p>
      <w:r>
        <w:t>Bezüglich der Haftbedingungen liegen keine Beanstandungen vor, die geeignet wären, die Haft als unverhältnismässig zu bezeichnen (Protokoll S. 5, act. 32).</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w:t>
      </w:r>
    </w:p>
    <w:p>
      <w:r>
        <w:t>- 9 - Der Rechtsvertreter des Gesuchsgegners macht geltend, dass auch eine Eingrenzung des Gesuchsgegners auf ein bestimmtes Gebiet genügen würde, um den Vollzug der Wegweisung sicherzustellen. Es sei davon auszugehen, dass sich der Gesuchsgegner an eine solche Eingrenzung halten würde (Protokoll S. 6, act. 33). Dem ist nicht zu folgen. So bekundete der Gesuchsgegner wiederholt seine Absicht, zuletzt anlässlich der heutigen Verhandlung, die Schweiz umgehend zu verlassen, sobald er aus der Haft entlassen würde (MI-act. 124, 140, 194; Protokoll S. 4, act. 31). Er gibt diesbezüglich an, nach Frankreich ausreisen zu wollen, da er dort gemäss eigenen Aussagen Verwandte sowie einen unbefristeten Arbeitsvertrag habe (MI-act. 124, 140). Vor dem Hintergrund dieser wiederholten, eindeutigen Absichtsbekundungen sowie seiner mehrfachen Straffälligkeit in der Vergangenheit (vgl. MI-act. 79) erscheint das Risiko als beträchtlich, dass sich der Gesuchsgegner einer behördlich angeordneten Eingrenzung widersetzen würde und nach einer allfälligen Haftentlassung, die Schweiz umgehend auf illegale Weise in Richtung Frankreich verlassen würde. Eine Eingrenzung vermag somit den Vollzug der Ausschaffung des Gesuchsgegners in sein Heimatland nicht sicherzustellen. Andere mildere Massnahmen, welche den Vollzug der Wegweisung sicherstellen könnten, sind nicht ersichtlich. Bezüglich der familiären Verhältnisse ergeben sich keine Anhaltspunkte, welche gegen eine Haftanordnung sprechen würden. Der Gesuchsgegner macht auch nicht geltend, er sei nicht hafterstehungsfähig. Insgesamt sind folglich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 sungsgesuch frühestens einen Monat nach Haftüberprüfung gestellt</w:t>
      </w:r>
    </w:p>
    <w:p>
      <w:r>
        <w:t>- 10 -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 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anwesenden Parteien ausgehändigt und den per Videotelefonie zugeschalteten Parteien im Anschluss an die Verhandlung per IncaMail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