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WPR.2024.80 vom 2. September 2024</w:t>
      </w:r>
    </w:p>
    <w:p>
      <w:r>
        <w:t>AG Verwaltungsgericht, 2024-09-02, DE</w:t>
      </w:r>
    </w:p>
    <w:p>
      <w:r>
        <w:rPr>
          <w:b/>
        </w:rPr>
        <w:t xml:space="preserve">Quelle: </w:t>
      </w:r>
      <w:r>
        <w:t>https://mcp.opencaselaw.ch/entscheid/ag_verwaltungsgericht_WPR.2024.80</w:t>
      </w:r>
    </w:p>
    <w:p>
      <w:r>
        <w:t>FR: AG_VERWALTUNGSGERICHT WPR.2024.80 du 2 septembre 2024</w:t>
      </w:r>
    </w:p>
    <w:p>
      <w:r>
        <w:t>IT: AG_VERWALTUNGSGERICHT WPR.2024.80 del 2 settembre 2024</w:t>
      </w:r>
    </w:p>
    <w:p>
      <w:pPr>
        <w:pStyle w:val="Heading2"/>
      </w:pPr>
      <w:r>
        <w:t>Erwägungen</w:t>
      </w:r>
    </w:p>
    <w:p>
      <w:r>
        <w:rPr>
          <w:b/>
        </w:rPr>
        <w:t>E. 2</w:t>
      </w:r>
    </w:p>
    <w:p>
      <w:r>
        <w:t>Im vorliegenden Fall wurde die bestehende Haft bis zum 2. September 2024 bestätigt (Entscheid des Verwaltungsgerichts WPR.2024.57 vom 28. Juni 2024; MI-act. 308 ff.). Am 22. August 2024 ordnete das MIKA die Haftverlängerung an (act. 1 ff.). Anlässlich der Gewährung des rechtlichen Gehörs ersuchte der Gesuchsgegner um Durchführung einer mündlichen Verhandlung zur Überprüfung der angeordneten Haftverlängerung (MI- act. 329 f.). Die Verhandlung erfolgte am 2. September 2024 und damit innerhalb von acht Arbeitstagen nach Gesuchseinreichung.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oder eine rechtskräftige Landesverweisung vorliegt.</w:t>
      </w:r>
    </w:p>
    <w:p>
      <w:r>
        <w:t>- 6 - Wie bereits mit Urteil des Einzelrichters des Verwaltungsgerichts betreffend Anordnung der Durchsetzungshaft vom 4. April 2024 (WPR.2024.29, Erw. II/4.2, MI-act. 219) festgestellt wurde, liegt mit dem Urteil des Bezirks- gerichts Baden vom 20. September 2023 (MI-act. 138 ff.) eine rechts- kräftige Landesverweisung gegen den Gesuchsgegner vor.</w:t>
      </w:r>
    </w:p>
    <w:p>
      <w:r>
        <w:rPr>
          <w:b/>
        </w:rPr>
        <w:t>E. 2.3</w:t>
      </w:r>
    </w:p>
    <w:p>
      <w:r>
        <w:t>Die Anordnung einer Durchsetzungshaft ist nur dann zulässig, wenn dem Betroffenen eine Ausreisefrist angesetzt wurde und er innerhalb dieser Frist nicht ausgereist ist. Mit Schreiben vom 6. Dezember 2023 erklärte das MIKA dem Gesuchs- gegner, es beabsichtige, ihn auf den Termin der Haftentlassung aus der Schweiz auszuschaffen und forderte ihn auf, bei der Reisepapierbe- schaffung mitzuwirken (MI-act. 160). Da der Gesuchsgegner dieser Pflicht immer noch nicht nachgekommen ist, konnte die Ausschaffung nicht vollzogen werden, womit die genannte Voraussetzung erfüllt ist (vgl. WPR.2024.35, Erw. II/2.3; MI-act. 275; WPR.2024.57, Erw. II/2.3; MI- act. 312 f.).</w:t>
      </w:r>
    </w:p>
    <w:p>
      <w:r>
        <w:rPr>
          <w:b/>
        </w:rPr>
        <w:t>E. 2.4</w:t>
      </w:r>
    </w:p>
    <w:p>
      <w:r>
        <w:t>Weiter wird vorausgesetzt, dass die Weg- oder Ausweisung oder die Landesverweisung auf Grund des persönlichen Verhaltens des Betroffenen nicht vollzogen werden kann. Wie bereits mit Urteil des Einzelrichters des Verwaltungsgerichts vom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w:t>
      </w:r>
    </w:p>
    <w:p>
      <w:r>
        <w:rPr>
          <w:b/>
        </w:rPr>
        <w:t>E. 2.6</w:t>
      </w:r>
    </w:p>
    <w:p>
      <w:r>
        <w:t>Nach dem Gesagten sind die Voraussetzungen für die Verlängerung einer Durchsetzungshaft erfüllt. 3. Da der Gesuchsgegner die Teilnahme an der Verhandlung verweigert hat, er während dem rechtlichen Gehör keine Beanstandungen bezüglich der Haftbedingungen vorgebracht hat (MI-act. 320) und auch sein Rechts- vertreter den Haftvollzug nicht bemängelt (Protokoll S. 3, act. 34), ist vorliegend davon auszugehen, dass bezüglich der Haftbedingungen keine Beanstandungen vorliegen.</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fünf Monaten in ausländerrechtlicher Haft im Sinne von Art. 75 - 78 AIG (Durchsetzungshaft 3. April 2024 – 2. September 2024). Die sechsmonatige Frist wird damit am 2. Oktober 2024 enden und die Haft kann längstens bis zum 2. Oktober 2025 verlängert werden.</w:t>
      </w:r>
    </w:p>
    <w:p>
      <w:r>
        <w:t>- 8 -</w:t>
      </w:r>
    </w:p>
    <w:p>
      <w:r>
        <w:rPr>
          <w:b/>
        </w:rPr>
        <w:t>E. 5.3</w:t>
      </w:r>
    </w:p>
    <w:p>
      <w:r>
        <w:t>Das MIKA ordnete mit Verfügung vom 22. August 2024 die Verlängerung der Durchsetzungshaft um weitere zwei Monate, d.h. bis zum 2. November 2024, an. Mit der Verlängerung der Durchsetzungshaft um zwei Monate wird die Dauer von sechs Monaten überschritten, womit die Voraussetzungen von Art. 79 Abs. 2 AIG erfüllt sein müssen. Der Gesuchsgegner hat nach wie vor keine Identitätspapiere beschafft (MI- act. 328) und legt weiterhin ein unkooperatives Verhalten bei deren Beschaffung und der Abklärung seiner Identität an den Tag. So gab der Gesuchsgegner bereits anlässlich der mündlichen Verhandlung vor dem Einzelrichter des Verwaltungsgerichts vom 4. April 2024 zu Protokoll, seine angegebenen Personalien seien falsch und er sei weder bereit, seine korrekten Personalien anzugeben noch bei der Feststellung seiner Identität zu kooperieren (WPR.2024.29, Erw. II/3.2; MI-act. 218). Zuletzt bestätigte der Gesuchsgegner gegenüber dem MIKA anlässlich der Gewährung des rechtlichen Gehörs vom 22. August 2024 sein renitentes Verhalten und gab zu Protokoll, er habe die Erwartungen der Behörden verstanden, werde aber nicht mit ihnen kooperieren (MI-act. 329). Zudem bleiben die Aus- sagen des Gesuchsgegners betreffend seine Herkunft weiterhin wider- sprüchlich. Während er am 30. Januar 2024 anlässlich des Ausreise- gesprächs beim MIKA noch angab, aus Tunesien zu stammen und auch dort gelebt zu haben (MI-act. 170 ff.), gab er am 22. August 2024 zu Protokoll, nie in Tunesien gelebt zu haben (MI-act. 329).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w:t>
      </w:r>
    </w:p>
    <w:p>
      <w:r>
        <w:t>- 9 - geltend, er sei nicht hafterstehungsfähig. Insgesamt sind keinerlei Gründe ersichtlich, welche die Verlängerung der Haft als unverhältnismässig erscheinen liessen. Auch wenn die Chance, dass der Gesuchsgegner sein Verhalten ändern wird, als minimal bezeichnet werden muss, wird sich zeigen müssen, ob er mit der Anordnung der Durchsetzungshaft effektiv nicht zur Einsicht gebracht werden kann, bei der Papierbeschaffung zu kooperieren bzw.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 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4. April 2024 bestätigte amtliche Rechtsvertreter bleibt im Amt und kann seine Kostennote im Rahmen des Verfahrens WPR.2024.29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w:t>
      </w:r>
    </w:p>
    <w:p>
      <w:r>
        <w:t>- 10 - Gleichzeitig ist ihm die Frage zu unterbreiten, ob er die Durchführung einer mündlichen Verhandlung im Sinne von Art. 78 Abs. 4 AIG wünscht und ob er in diesem Fall eine Präsenzverhandlung verlangt oder mit einer Verhandlung via Videotelefonie einverstanden ist (Urteil des Bundesgerichts 2C_846/2021 vom 19. November 2021). Die allfällige Anordnung einer Haftverlängerung ist dem Verwaltungsgericht spätestens acht Arbeitstage vor Ablauf der bewilligten Haft einzureichen. 3. Der vorliegende Entscheid wurde den Parteien anlässlich der heutigen Verhandlung mündlich eröffnet. Das Dispositiv wurde den anwesenden Parteien ausgehändigt und den per Videotelefonie zugeschalteten Parteien im Anschluss an die Verhandlung per IncaMail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