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WPR.2024.8 vom 15. Januar 2024</w:t>
      </w:r>
    </w:p>
    <w:p>
      <w:r>
        <w:t>AG Verwaltungsgericht, 2024-01-15, DE</w:t>
      </w:r>
    </w:p>
    <w:p>
      <w:r>
        <w:rPr>
          <w:b/>
        </w:rPr>
        <w:t xml:space="preserve">Quelle: </w:t>
      </w:r>
      <w:r>
        <w:t>https://mcp.opencaselaw.ch/entscheid/ag_verwaltungsgericht_WPR.2024.8</w:t>
      </w:r>
    </w:p>
    <w:p>
      <w:r>
        <w:t>FR: AG_VERWALTUNGSGERICHT WPR.2024.8 du 15 janvier 2024</w:t>
      </w:r>
    </w:p>
    <w:p>
      <w:r>
        <w:t>IT: AG_VERWALTUNGSGERICHT WPR.2024.8 del 15 gennaio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Haft begann am 11. Januar 2024, 16:18 Uhr. Sie wird für sechs Wo- chen bis zum 21. Februar 2024, 12.00 Uhr, angeordnet.</w:t>
      </w:r>
    </w:p>
    <w:p>
      <w:r>
        <w:rPr>
          <w:b/>
        </w:rPr>
        <w:t>E. 3</w:t>
      </w:r>
    </w:p>
    <w:p>
      <w:r>
        <w:t>Eventualiter sei er unter Anordnung von geeigneten Ersatzmassnahmen aus der Haft zu entlassen.</w:t>
      </w:r>
    </w:p>
    <w:p>
      <w:r>
        <w:rPr>
          <w:b/>
        </w:rPr>
        <w:t>E. 4</w:t>
      </w:r>
    </w:p>
    <w:p>
      <w:r>
        <w:t>Nach dem Gesagten steht fest, dass kein Haftgrund vorliegt, womit es sich erübrigt, auf die weiteren Voraussetzungen der Administrativhaft einzu- gehen. Die angeordnete Administrativhaft ist demzufolge nicht zu bestätigen und der Gesuchsgegner ist unverzüglich aus der Administrativhaft zu entlassen.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