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WPR.2024.76 vom 16. August 2024</w:t>
      </w:r>
    </w:p>
    <w:p>
      <w:r>
        <w:t>AG Verwaltungsgericht, 2024-08-16, DE</w:t>
      </w:r>
    </w:p>
    <w:p>
      <w:r>
        <w:rPr>
          <w:b/>
        </w:rPr>
        <w:t xml:space="preserve">Quelle: </w:t>
      </w:r>
      <w:r>
        <w:t>https://mcp.opencaselaw.ch/entscheid/ag_verwaltungsgericht_WPR.2024.76</w:t>
      </w:r>
    </w:p>
    <w:p>
      <w:r>
        <w:t>FR: AG_VERWALTUNGSGERICHT WPR.2024.76 du 16 août 2024</w:t>
      </w:r>
    </w:p>
    <w:p>
      <w:r>
        <w:t>IT: AG_VERWALTUNGSGERICHT WPR.2024.76 del 16 agosto 2024</w:t>
      </w:r>
    </w:p>
    <w:p>
      <w:pPr>
        <w:pStyle w:val="Heading2"/>
      </w:pPr>
      <w:r>
        <w:t>Erwägungen</w:t>
      </w:r>
    </w:p>
    <w:p>
      <w:r>
        <w:rPr>
          <w:b/>
        </w:rPr>
        <w:t>E. 2</w:t>
      </w:r>
    </w:p>
    <w:p>
      <w:r>
        <w:t>Die Haft begann am 15. August 2024, 13.50 Uhr. Sie wird in Anwendung von Art. 76 AIG für drei Monate bis zum 14. November 2024, 12.00 Uhr angeordnet.</w:t>
      </w:r>
    </w:p>
    <w:p>
      <w:r>
        <w:t>- 3 -</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Der Gesuchsgegner wurde mit dem negativen Asylentscheid des SEM vom 10. April 2019 aus der Schweiz weggewiesen (MI-act. 53 ff.). Die dagegen erhobene Beschwerde wies das Bundesverwaltungsgericht mit Urteil vom 27. Mai 2019 ab (MI-act. 64 ff.). Es liegt damit ein rechtsgenüglicher Wegweisungsentscheid vor.</w:t>
      </w:r>
    </w:p>
    <w:p>
      <w:r>
        <w:rPr>
          <w:b/>
        </w:rPr>
        <w:t>E. 2.3</w:t>
      </w:r>
    </w:p>
    <w:p>
      <w:r>
        <w:t>Gemäss Art. 80 Abs. 6 lit. a AIG ist die Haft zu beenden, wenn sich erweist, dass der Vollzug der Wegweisung aus rechtlichen oder tatsächlichen Gründen undurchführbar ist. Die Vertreterin des Gesuchstellers gab an der heutigen Verhandlung zu Protokoll, dass der Gesuchsteller für den Sonderflug angemeldet werden konnte. Das Datum für den Sonderflug stehe fest, könne aus vollzugs- technischen Gründen aber nicht offengelegt werden. Der Flug finde aber innerhalb der angeordneten Ausschaffungshaft statt (Protokoll S. 3, act. 29). Gestützt auf diese Ausführungen kann von einer positiven Vollzugs- perspektive ausgegangen werden. Der Vollzug der Wegweisung ist somit rechtlich und tatsächlich möglich.</w:t>
      </w:r>
    </w:p>
    <w:p>
      <w:r>
        <w:t>- 5 - Es sind keine Anzeichen vorhanden, die an der Ausschaffungsmöglichkeit in tatsächlicher oder rechtlicher Hinsicht Zweifel aufkommen lassen wür- den.</w:t>
      </w:r>
    </w:p>
    <w:p>
      <w:r>
        <w:rPr>
          <w:b/>
        </w:rPr>
        <w:t>E. 3</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 sagen zu beurteilen. Auch wenn einzelne Fakten für sich eine Aus- 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 CONSTANTIN HRUSCHKA/FANNY DE WECK [Hrsg.], Kommentar Migrations- recht, 5. Aufl., Zürich 2019, N. 7 zu Art. 76 AIG und TARKAN GÖKSU, in: MARTINA CARONI/THOMAS GÄCHTER/DANIELA THURNHERR [Hrsg.], Stämpflis Handkommentar zum Bundesgesetz über die Ausländerinnen und Ausländer [AuG], Bern 2010, N. 11 zu Art. 76). Vorliegend ist dem Gesuchsgegner zugute zu halten, dass er sich immer den Behörden zur Verfügung gehalten hat und seit dem negativen Asylentscheid vom 10. April 2019 sämtlichen Vorladungen für insgesamt sechs Ausreisegespräche sowie einer persönlichen Befragung mit den irakischen Behörden gefolgt ist. Dieses Verhalten spricht gegen eine Untertauchensgefahr.</w:t>
      </w:r>
    </w:p>
    <w:p>
      <w:r>
        <w:t>- 6 - Für eine Untertauchensgefahr spricht jedoch die konstante Weigerung des Gesuchsgegners, in den Irak zurückzukehren oder bei der Beschaffung von Reisedokumenten mitzuwirken. Der Gesuchsgegner hat auch im Rahmen der Befragung vom 16. August 2024 eine Ausreise in den Irak verweigert und insbesondere mitgeteilt, dass er nicht bereit sei, einen für ihn bereits gebuchten Flug in den Irak anzutreten (MI-act. 221). Auf die Frage, ob er sich in der Unterkunft für den Flug bereithalten würde, antwortete er: "Nein, wenn sie mich herauslassen, gehe ich weg innert 24 Stunden" (MI- act. 221). Auch an der heutigen Verhandlung gab er unmissverständlich zu Protokoll, nicht in den Irak zurückkehren zu wollen (Protokoll S. 3, act. 30). Aufgrund dieser Aussagen ist daher insbesondere angesichts des bevor- stehenden Sonderflugs von einer klaren Untertauchensgefahr auszu- gehen. Damit ist der Haftgrund von Art. 76 Abs. 1 lit. b Ziff. 3 und 4 AIG erfüllt.</w:t>
      </w:r>
    </w:p>
    <w:p>
      <w:r>
        <w:rPr>
          <w:b/>
        </w:rPr>
        <w:t>E. 4</w:t>
      </w:r>
    </w:p>
    <w:p>
      <w:r>
        <w:t>Bezüglich der Haftbedingungen liegen keine Beanstandungen vor (Proto- koll S. 2, act. 29).</w:t>
      </w:r>
    </w:p>
    <w:p>
      <w:r>
        <w:rPr>
          <w:b/>
        </w:rPr>
        <w:t>E. 5</w:t>
      </w:r>
    </w:p>
    <w:p>
      <w:r>
        <w:t>Es liegen auch keine Anzeichen dafür vor, dass das MIKA dem Be- schleunigungsgebot (Art. 76 Abs. 4 AIG) nicht ausreichend Beachtung geschenkt hätte.</w:t>
      </w:r>
    </w:p>
    <w:p>
      <w:r>
        <w:rPr>
          <w:b/>
        </w:rPr>
        <w:t>E. 6</w:t>
      </w:r>
    </w:p>
    <w:p>
      <w:r>
        <w:t>Das MIKA ordnete die Ausschaffungshaft für drei Monate an. Da der Gesuchsgegner bereits für einen geplanten Sonderflug gebucht wurde, ist die beantragte Haftdauer nicht zu beanstanden. Im Übrigen ist festzu- 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 hältnismässigkeit verstossen würde. Eine mildere Massnahme zur Sicher- stellung des Vollzugs der Wegweisung ist nicht ersichtlich, da der Gesuchs- gegner ausdrücklich erklärte, er würde im Fall einer Haftentlassung innerhalb von 24 Stunden untertauchen. Bezüglich der familiären Ver- hältnisse ergeben sich keine Anhaltspunkte, welche gegen eine Haft- anordnung sprechen würden. Der Gesuchsgegner macht auch nicht geltend, er sei nicht hafterstehungsfähig. Insgesamt sind keinerlei Gründe ersichtlich, welche die angeordnete Haft als unverhältnismässig erscheinen liessen.</w:t>
      </w:r>
    </w:p>
    <w:p>
      <w:r>
        <w:t>- 7 -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