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WPR.2024.75 vom 16. August 2024</w:t>
      </w:r>
    </w:p>
    <w:p>
      <w:r>
        <w:t>AG Verwaltungsgericht, 2024-08-16, DE</w:t>
      </w:r>
    </w:p>
    <w:p>
      <w:r>
        <w:rPr>
          <w:b/>
        </w:rPr>
        <w:t xml:space="preserve">Quelle: </w:t>
      </w:r>
      <w:r>
        <w:t>https://mcp.opencaselaw.ch/entscheid/ag_verwaltungsgericht_WPR.2024.75</w:t>
      </w:r>
    </w:p>
    <w:p>
      <w:r>
        <w:t>FR: AG_VERWALTUNGSGERICHT WPR.2024.75 du 16 août 2024</w:t>
      </w:r>
    </w:p>
    <w:p>
      <w:r>
        <w:t>IT: AG_VERWALTUNGSGERICHT WPR.2024.75 del 16 agosto 2024</w:t>
      </w:r>
    </w:p>
    <w:p>
      <w:pPr>
        <w:pStyle w:val="Heading2"/>
      </w:pPr>
      <w:r>
        <w:t>Erwägungen</w:t>
      </w:r>
    </w:p>
    <w:p>
      <w:r>
        <w:rPr>
          <w:b/>
        </w:rPr>
        <w:t>E. 2</w:t>
      </w:r>
    </w:p>
    <w:p>
      <w:r>
        <w:t>Die Haft begann am 14. August 2024, 10.10 Uhr. Sie wird in Anwendung von Art. 76 AIG für drei Monate bis zum 13. November 2024, 12.00 Uhr, angeordnet.</w:t>
      </w:r>
    </w:p>
    <w:p>
      <w:r>
        <w:rPr>
          <w:b/>
        </w:rPr>
        <w:t>E. 2.1</w:t>
      </w:r>
    </w:p>
    <w:p>
      <w:r>
        <w:t>Das MIKA begründet seine Haftanordnung damit, dass es den Gesuchs- gegner aus der Schweiz ausschaffen und mit der Haft den Vollzug sicher- 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 desverweisung ausgesprochen wurde (Art. 76 Abs. 1 AIG).</w:t>
      </w:r>
    </w:p>
    <w:p>
      <w:r>
        <w:t>- 6 - Mit Verfügung des MIKA vom 15. August 2024 wurde der Gesuchsgegner aus der Schweiz und dem Schengen-Raum weggewiesen (MI-act. 215 ff.). Diese wurde dem Gesuchsgegner gleichentags eröffnet (MI-act. 218). Da- mit liegt ein rechtsgenüglicher Wegweisungsentscheid vor.</w:t>
      </w:r>
    </w:p>
    <w:p>
      <w:r>
        <w:rPr>
          <w:b/>
        </w:rPr>
        <w:t>E. 2.3</w:t>
      </w:r>
    </w:p>
    <w:p>
      <w:r>
        <w:t>Gemäss Art. 80 Abs. 6 lit. a AIG ist die Haft zu beenden, wenn sich erweist, dass der Vollzug der Wegweisung aus rechtlichen oder tatsächlichen Grün- den undurchführbar ist. Die Rechtsvertreterin des Gesuchsgegners bringt vor, an einer Vollzugs- perspektive bestünden erhebliche Zweifel, da aus den Akten weder hervor- gehe, dass und für welchen Zeitpunkt ein Sonderflug in den Irak geplant sei, noch dass für den Gesuchsgegner bereits ein Ersatzreisedokument habe ausgestellt werden können. Somit sei selbst bei Verfügbarkeit eines Sonderflugs zweifelhaft, ob dieser vom Gesuchsgegner mangels rechtzei- tiger Ausstellung eines Ersatzreisedokuments überhaupt angetreten wer- den könne (act. 43). Die Vertreterin des Gesuchstellers erläuterte dazu, dass der Gesuchsteller für den Sonderflug angemeldet werden konnte. Das Datum für den Sonderflug stehe fest, könne aus vollzugstechnischen Grün- den aber nicht offengelegt werden; es liege aber in naher Zukunft. Ein phy- sisches Ersatzreisedokument werde bei Sonderflügen in den Irak nicht be- nötigt; das Verfahren sei nicht mit dem DEPA- oder DEPU-Verfahren ver- gleichbar (Protokoll S. 8, act. 35). Gestützt auf diese Ausführungen und die ausdrückliche, unter Hinweis auf die Wahrheitspflicht abgegebene Zusicherung des Gesuchstellers, dass das Datum des Sonderflugs feststehe und der Gesuchsgegner für diesen Sonderflug gebucht sei (Protokoll S. 8, 11; act. 35, 38), kann entgegen den Ausführungen des Gesuchsgegners von einer positiven Vollzugsperspek- tive ausgegangen werden. Zudem konnten bereits im Jahr 2023 zwei Son- derflüge in den Irak erfolgreich durchgeführt werden, an denen jeweils Per- sonen teilgenommen haben, für welche das MIKA zuständig war (Protokoll S. 9, act. 36). Der Vollzug der Wegweisung ist somit rechtlich und tatsäch- lich möglich. Weitere Anzeichen, die an der Ausschaffungsmöglichkeit in rechtlicher oder tatsächlicher Hinsicht Zweifel aufkommen lassen würden, sind eben- falls keine ersichtlich. 3.</w:t>
      </w:r>
    </w:p>
    <w:p>
      <w:r>
        <w:rPr>
          <w:b/>
        </w:rPr>
        <w:t>E. 3</w:t>
      </w:r>
    </w:p>
    <w:p>
      <w:r>
        <w:t>Eventualiter wird die Haft in Anwendung von Art. 77 AIG für 60 Tage an- geordnet.</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w:t>
      </w:r>
    </w:p>
    <w:p>
      <w:r>
        <w:t>- 7 - Abs. 1 lit. a oder Abs. 4 des Asylgesetzes vom 26. Juni 1998 (AsylG, SR 142.31) nicht nachkommt. Ob im Sinne dieser Gesetzesbestimmung konkrete Anzeichen befürchten lassen, dass sich eine Person der Aus- schaffung entziehen will, ist aufgrund des ganzen bisherigen Verhaltens, insbesondere auch gegenüber den Behörden, sowie ihrer eigenen Aussa- gen zu beurteilen. Auch wenn einzelne Fakten für sich eine Ausschaffungs- haft nicht rechtfertigen, kann dies aufgrund der Gesamtheit der Vorkomm- 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 son darauf schliessen lässt, dass sie sich behördlichen Anordnungen wi- dersetzt (Art. 76 Abs. 1 lit. b Ziff. 4 AIG). Eine klare Trennung der beiden genannten Haftgründe ist in der Praxis kaum möglich. Vielmehr ist Art. 76 Abs. 1 lit. b Ziff. 4 AIG wohl als Präzisie- rung von Art. 76 Abs. 1 lit. b Ziff. 3 AIG zu verstehen, womit die beiden Bestimmungen als einheitlicher Haftgrund zu betrachten sind (vgl. AN- DREAS ZÜND, in: MARC SPESCHA/ANDREAS ZÜND/PETER BOLZLI/CONSTANTIN HRUSCHKA/FANNY DE WECK [Hrsg.], Kommentar Migrationsrecht, 5. Aufl., Zürich 2019, N. 7 zu Art. 76 AIG und TARKAN GÖKSU, in: MARTINA CA- RONI/THOMAS GÄCHTER/DANIELA THURNHERR [Hrsg.], Stämpflis Handkom- mentar zum Bundesgesetz über die Ausländerinnen und Ausländer [AuG], Bern 2010, N. 11 zu Art. 76).</w:t>
      </w:r>
    </w:p>
    <w:p>
      <w:r>
        <w:rPr>
          <w:b/>
        </w:rPr>
        <w:t>E. 3.2</w:t>
      </w:r>
    </w:p>
    <w:p>
      <w:r>
        <w:t>Der Gesuchsgegner, gegen den ein rechtsgenüglicher Wegweisungsent- scheid vorliegt, hat anlässlich mehrerer Ausreisegespräche mit dem MIKA (MI-act. 88, 176) sowie der Gewährung des rechtlichen Gehörs betreffend die Anordnung einer Ausschaffungshaft vom 14. August 2024 (MI-act. 220) und zuletzt an der heutigen Verhandlung unmissverständlich zum Ausdruck gebracht, er wolle die Schweiz nicht freiwillig in Richtung Irak verlassen (Protokoll S. 5, act. 32). In dieser konstanten Weigerung, der Ausreise- pflicht nachzukommen, ist ein klares Anzeichen dafür zu erkennen, dass sich der Gesuchsgegner der Ausschaffung entziehen will. Auch in der feh- lenden Kooperationsbereitschaft hinsichtlich der Beschaffung von gültigen Reisepapieren ist eine Untertauchensgefahr zu erkennen, indem der Ge- suchsgegner seiner Mitwirkungspflicht nicht nachkommt (MI-act. 221). Zudem war der Gesuchsgegner vom 15. März 2023 bis mindestens zum 30. Mai 2023 untergetaucht, wobei er sich nach eigenen Angaben zumin- dest für eine gewisse Zeit in Holland aufhielt (MI-act. 178, 220). Seine</w:t>
      </w:r>
    </w:p>
    <w:p>
      <w:r>
        <w:t>- 8 - Aussage, dass der Beschwerdeführer fälschlicherweise davon ausgegan- gen sei, er solle die Schweiz (egal wohin) verlassen (Protokoll S. 3 f., act. 30 f., 42), konnte der Beschwerdeführer in keiner Weise substantiieren, weshalb davon auszugehen ist, dass es sich hierbei um eine reine Schutz- behauptung handelt. Damit hat sich der Gesuchsgegner nicht nur entgegen seinen Verpflichtungen gemäss dem Merkblatt für dem Kanton Aargau zu- gewiesene Asylsuchende nicht den zuständigen Behörden zur Verfügung gehalten (MI-act. 50), sondern auch mindestens in diesem Fall die bei ihm befürchtete Untertauchensgefahr verwirklicht. Unter diesen Umständen steht fest, dass der Gesuchsgegner mit seinem Verhalten klare Anzeichen für eine Untertauchensgefahr gesetzt hat und es ist nicht davon auszugehen, dass er nach einer Entlassung aus der Aus- schaffungshaft die Schweiz auf direktem Weg freiwillig in Richtung Irak ver- lassen würde. Damit ist der Haftgrund von Art. 76 Abs. 1 lit. b Ziff. 3 und 4 AIG erfüllt.</w:t>
      </w:r>
    </w:p>
    <w:p>
      <w:r>
        <w:rPr>
          <w:b/>
        </w:rPr>
        <w:t>E. 4</w:t>
      </w:r>
    </w:p>
    <w:p>
      <w:r>
        <w:t>Bezüglich der Haftbedingungen liegen keine Beanstandungen vor, die ge- eignet wären, die Haft als unverhältnismässig erscheinen zu lassen (Proto- koll S. 9, act. 36).</w:t>
      </w:r>
    </w:p>
    <w:p>
      <w:r>
        <w:rPr>
          <w:b/>
        </w:rPr>
        <w:t>E. 5</w:t>
      </w:r>
    </w:p>
    <w:p>
      <w:r>
        <w:t>Es liegen auch keine Anzeichen dafür vor, dass das MIKA dem Beschleu- nigungsgebot (Art. 76 Abs. 4 AIG) nicht ausreichend Beachtung geschenkt hätte.</w:t>
      </w:r>
    </w:p>
    <w:p>
      <w:r>
        <w:rPr>
          <w:b/>
        </w:rPr>
        <w:t>E. 6</w:t>
      </w:r>
    </w:p>
    <w:p>
      <w:r>
        <w:t>Das MIKA ordnete die Ausschaffungshaft für drei Monate an. Da der Ge- suchsgegner bereits für einen geplanten Sonderflug gebucht wurde, ist die beantragte Haftdauer nicht zu beanstanden. Im Übrigen ist festzuhalten, dass das MIKA bisher stets bemüht war, Ausschaffungen so rasch wie möglich zu vollziehen. Sollte das MIKA entgegen seiner bisherigen Ge- 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 mässigkeit verstossen würde. Die Rechtsvertreterin des Gesuchstellers bringt diesbezüglich einerseits vor, die Haftanordnung sei nicht verhältnis- mässig, da aufgrund des nicht aktenkundigen Sonderflugdatums keinerlei Gewähr für eine zeitnahe Vollzugsperspektive bestehe und somit offen bleibe, ob die vom MIKA angeordnete Haft taugliches Mittel zum Zweck der Ausschaffung sei (Protokoll S. 10, act. 37). Nachdem die Vertreterin des Gesuchstellers anlässlich der heutigen Verhandlung mehrmals zugesichert</w:t>
      </w:r>
    </w:p>
    <w:p>
      <w:r>
        <w:t>- 9 - hat, es existiere ein fixiertes Datum für den Sonderflug, für welchen der Gesuchsgegner angemeldet sei, besteht vorliegend, wie oben unter Erw. II/2.3 ausgeführt, eine positive und zeitnahe Vollzugsperspektive (Pro- tokoll S. 11, act. 38). Ausserdem wurde von der Rechtsvertreterin des Gesuchsgegners ange- zweifelt, dass die Haftanordnung das mildeste Mittel darstelle, da sich der Gesuchsgegner bisher immer an alle Termine und die Eingrenzung gehal- ten und sich stets kooperativ gegenüber den Behörden verhalten habe (act. 44). Dem kann aus mehreren Gründen nicht gefolgt werden, wie in der obenstehenden Erwägung zum Vorliegen eines Haftgrundes bereits einge- hend dargelegt wurde (Erw. II/3.2). Gerade aufgrund der grossen Untertau- chensgefahr wäre eine mildere Massnahme, wie die von der Rechtsvertre- terin des Gesuchsgegners beantragte Meldeauflage, nicht zielführend. Eine mildere Massnahme zur Sicherstellung des Vollzugs der Wegweisung ist somit nicht ersichtlich. Bezüglich der familiären Verhältnisse ergeben sich keine Anhaltspunkte, welche gegen eine Haftanordnung sprechen würden. Die Hafterstehungsfähigkeit des Gesuchsgegners ist bestätigt (MI- act. 208 ff.). Insgesamt sind keinerlei Gründe ersichtlich, welche die ange- 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Die Vertreterin des Gesuchsgegners wird aufgefordert, nach Haftentlassung des Gesuchsgegners ihre Kosten- note einzureichen. IV. 1. Der Gesuchsgegner wird darauf hingewiesen, dass ein Haftentlassungsge- such frühestens einen Monat nach Haftüberprüfung gestellt werden kann (Art. 80 Abs. 5 AIG) und beim MIKA einzureichen ist (§ 15 Abs. 1 EGAR). 2. Soll die Haft gegebenenfalls verlängert werden, ist nicht zwingend eine Ver- handlung mit Parteibefragung durchzuführen (Aargauische Gerichts- und Verwaltungsentscheide [AGVE] 2009, S. 359 Erw. I/4.3 ff.). Im Rahmen des rechtlichen Gehörs hat das MIKA dem Gesuchsgegner daher die Frage zu unterbreiten, ob er die Durchführung einer mündlichen Verhandlung</w:t>
      </w:r>
    </w:p>
    <w:p>
      <w:r>
        <w:t>- 10 -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