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WPR.2024.70 vom 9. August 2024</w:t>
      </w:r>
    </w:p>
    <w:p>
      <w:r>
        <w:t>AG Verwaltungsgericht, 2024-08-09, DE</w:t>
      </w:r>
    </w:p>
    <w:p>
      <w:r>
        <w:rPr>
          <w:b/>
        </w:rPr>
        <w:t xml:space="preserve">Quelle: </w:t>
      </w:r>
      <w:r>
        <w:t>https://mcp.opencaselaw.ch/entscheid/ag_verwaltungsgericht_WPR.2024.70</w:t>
      </w:r>
    </w:p>
    <w:p>
      <w:r>
        <w:t>FR: AG_VERWALTUNGSGERICHT WPR.2024.70 du 9 août 2024</w:t>
      </w:r>
    </w:p>
    <w:p>
      <w:r>
        <w:t>IT: AG_VERWALTUNGSGERICHT WPR.2024.70 del 9 agosto 2024</w:t>
      </w:r>
    </w:p>
    <w:p>
      <w:pPr>
        <w:pStyle w:val="Heading2"/>
      </w:pPr>
      <w:r>
        <w:t>Erwägungen</w:t>
      </w:r>
    </w:p>
    <w:p>
      <w:r>
        <w:rPr>
          <w:b/>
        </w:rPr>
        <w:t>E. 2</w:t>
      </w:r>
    </w:p>
    <w:p>
      <w:r>
        <w:t>Die Haft begann am 6. August 2024, 16.40 Uhr. Sie wird in Anwendung von Art. 76 AIG für drei Monate bis zum 5. November 2024, 12.00 Uhr angeordnet.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17. Oktober 2023 wies das SEM den Gesuchsgegner aus der Schweiz weg (MI-act. 170 ff.). Dieser Entscheid erwuchs am 20. November 2023 in Rechtskraft (MI-act. 189 ff.). Es liegt somit ein rechtsgenüglicher Wegweisungsentscheid vor.</w:t>
      </w:r>
    </w:p>
    <w:p>
      <w:r>
        <w:rPr>
          <w:b/>
        </w:rPr>
        <w:t>E. 2.3</w:t>
      </w:r>
    </w:p>
    <w:p>
      <w:r>
        <w:t>Gemäss Art. 80 Abs. 6 lit. a AIG ist die Haft zu beenden, wenn sich erweist, dass der Vollzug der Wegweisung aus rechtlichen oder tatsächlichen Gründen undurchführbar ist. Der Gesuchsgegner befand sich vom 31. Dezember 2023 bis zum 10. Januar 2024 in stationärer Behandlung im Ambulatorium für Er- wachsene der PDAG (MI-act. 199 ff.). Der Gesuchsgegner machte auch während des rechtlichen Gehörs vom 5. August 2024 (MI-act 290 ff.) sowie während der Verhandlung vom 9. August 2024 geltend, er habe gesundheitliche Problem (Protokoll S. 4, act. 35). Wie sich anlässlich der heutigen Verhandlung herausstellte, sind diese indessen nicht derart gravierend, als dass sie die Reisefähigkeit des Gesuchgegners be- einträchtigen würden. Es sind folglich keine Anzeichen vorhanden, wonach der aktuelle Gesundheitszustand des Gesuchgegners einem Vollzug der Wegweisung im Weg stehen würde.</w:t>
      </w:r>
    </w:p>
    <w:p>
      <w:r>
        <w:t>- 6 - Weitere Anzeichen, die an der Ausschaffungsmöglichkeit in rechtlicher oder tatsächlicher Hinsicht Zweifel aufkommen lassen würden, sind eben- falls keine ersichtlich. 3.</w:t>
      </w:r>
    </w:p>
    <w:p>
      <w:r>
        <w:rPr>
          <w:b/>
        </w:rPr>
        <w:t>E. 3</w:t>
      </w:r>
    </w:p>
    <w:p>
      <w:r>
        <w:t>Eventualiter wird die Haft in Anwendung von Art. 77 AIG für 60 Tage angeordnet.</w:t>
      </w:r>
    </w:p>
    <w:p>
      <w:r>
        <w:t>- 4 -</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 sagen zu beurteilen. Auch wenn einzelne Fakten für sich eine Ausschaf- 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 STANTIN HRUSCHKA/FANNY DE WECK [Hrsg.], Kommentar Migrationsrecht,</w:t>
      </w:r>
    </w:p>
    <w:p>
      <w:r>
        <w:rPr>
          <w:b/>
        </w:rPr>
        <w:t>E. 3.2</w:t>
      </w:r>
    </w:p>
    <w:p>
      <w:r>
        <w:t>Bereits im Rahmen des ersten Ausreisegesprächs vom 7. Dezember 2020 äusserte sich der Gesuchsgegner dahingehend, dass er nicht bereit sei, die Schweiz in Richtung Sri Lanka zu verlassen (MI-act. 68 ff.). Die letzte Ausreisefrist liess der Gesuchsgegner unbenutzt verstreichen. Zudem äusserte er sich im Rahmen des Ausreisegesprächs vom 16. Februar 2024 dahingehend, dass er Probleme habe, nach Sri Lanka zurückzukehren (MI-</w:t>
      </w:r>
    </w:p>
    <w:p>
      <w:r>
        <w:t>- 7 - act. 225 ff.). Anlässlich des Ausreisegesprächs vom 6. August 2024 wiederholte der Gesuchsgegner erneut, er sei nicht bereit, die Schweiz zu verlassen (MI-act. 291). In dieser konstanten Weigerung, seiner Aus- reisepflicht nachzukommen, ist ein klares Anzeichen dafür zu erkennen, dass sich der Gesuchsgegner der Ausschaffung entziehen will. Der im Rahmen der Befragung vom 6. August 2024 geäusserte Rückreisewille vermag nichts daran zu ändern, da der Gesuchsgegner während der heutigen Verhandlung erneut und unmissverständlich zu Protokoll gab, die Schweiz nicht verlassen zu wollen (MI-act. 293 ff.; act. 35). Weiter hat der Gesuchsgegner es unterlassen, bei der Papierbeschaffung mitzuwirken und hat diese gänzlich dem MIKA überlassen (MI-act. 65, 226, 291). Dementsprechend kann nicht von einem ernsthaften Ausreisewillen die Rede sein. Die Untertauchensgefahr des Gesuchgegners wird zudem dadurch be- stärkt, dass er bereits einmal über einen Zeitraum von 16 Monaten un- bekannten Aufenthalts war. Vom 20. April 2022 bis zum 20. August 2023 hielt sich der Gesuchsgegner nicht mehr in der ihm zugewiesenen Unterkunft auf und verletzte dadurch seine Pflicht, sich den Behörden jederzeit zur Verfügung zu halten (MI-act. 162, 168). Bei einem bereits zuvor erfolgten Untertauchen ist nach bundesgerichtlicher Rechtsprechung regelmässig von einer weiter bestehenden Untertauchensgefahr aus- zugehen (BGE 140 II 1, Erw. 5.3). Nach dem Gesagten steht im vorliegenden Fall fest, dass der Gesuchs- gegner insbesondere aufgrund seiner Weigerung, die Schweiz zu verlas- sen, der Verletzung seiner gesetzlichen Mitwirkungspflichten sowie seinem bereits einmalig erfolgten Untertauchen klare Anzeichen für eine Unter- tauchensgefahr gesetzt hat. Es ist unter diesen Umständen nicht davon auszugehen, dass er nach einer Entlassung aus der Ausschaffungshaft die Schweiz auf direktem Weg freiwillig in Richtung Sri Lanka verlassen würde. Damit ist der Haftgrund von Art. 76 Abs. 1 lit. b Ziff. 3 AIG erfüllt. 4. Bezüglich der Haftbedingungen liegen keine Beanstandungen vor (Pro- tokoll S. 6, act. 37).</w:t>
      </w:r>
    </w:p>
    <w:p>
      <w:r>
        <w:rPr>
          <w:b/>
        </w:rPr>
        <w:t>E. 4</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 tungsgerichts wurden der Gesuchsteller und der Gesuchsgegner befragt. D. Der Gesuchsteller beantragte die Bestätigung der Haftanordnung (Pro- tokoll S. 6, act. 37). Der Gesuchsgegner liess folgende Anträge stellen (Protokoll S. 6 f., act. 37 f.): 1. Der Gesuchsgegner sei unverzüglich aus der Ausschaffungshaft zu entlassen. 2. Eventualiter sei der Gesuchsgegner einer Asylunterkunft zuzuweisen, um eine allfällige Ausreise abzuwarten. Der Einzelrichter zieht in Erwägung: I. 1. Das angerufene Gericht überprüft die Rechtmässigkeit und Ange- messenheit einer durch das MIKA angeordneten Ausschaffungshaft auf- grund einer mündlichen Verhandlung spätestens nach 96 Stunden (Art. 80 Abs. 2 des Bundesgesetzes über die Ausländerinnen und Ausländer und über die Integration vom 16. Dezember 2005 [Ausländer- und In- tegrationsgesetz, AIG; SR 142.20], § 6 des Einführungsgesetzes zum Ausländerrecht vom 25. November 2008 [EGAR; SAR 122.600]). Die Haftüberprüfungsfrist beginnt mit der ausländerrechtlich motivierten An- haltung der betroffenen Person zu laufen (vgl. BGE 127 II 174, Erw. 2. b/aa). 2. Im vorliegenden Fall wurde der Gesuchsgegner am 6. August 2024, 16.40 Uhr, angehalten. Die mündliche Verhandlung begann am 9. August 2024, 11.00 Uhr; das Urteil wurde um 11.35 Uhr eröffnet. Die richterliche Haftüberprüfung erfolgte somit innerhalb der Frist von 96 Stunden.</w:t>
      </w:r>
    </w:p>
    <w:p>
      <w:r>
        <w:t>- 5 -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 anordnung durch das MIKA und damit durch die zuständige Behörde erlassen (act. 1 ff.). 2.</w:t>
      </w:r>
    </w:p>
    <w:p>
      <w:r>
        <w:rPr>
          <w:b/>
        </w:rPr>
        <w:t>E. 5</w:t>
      </w:r>
    </w:p>
    <w:p>
      <w:r>
        <w:t>Es liegen auch keine Anzeichen dafür vor, dass das MIKA dem Beschleuni- 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w:t>
      </w:r>
    </w:p>
    <w:p>
      <w:r>
        <w:t>- 8 -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 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 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 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w:t>
      </w:r>
    </w:p>
    <w:p>
      <w:r>
        <w:t>- 9 -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