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WPR.2024.68 vom 6. August 2024</w:t>
      </w:r>
    </w:p>
    <w:p>
      <w:r>
        <w:t>AG Verwaltungsgericht, 2024-08-06, DE</w:t>
      </w:r>
    </w:p>
    <w:p>
      <w:r>
        <w:rPr>
          <w:b/>
        </w:rPr>
        <w:t xml:space="preserve">Quelle: </w:t>
      </w:r>
      <w:r>
        <w:t>https://mcp.opencaselaw.ch/entscheid/ag_verwaltungsgericht_WPR.2024.68</w:t>
      </w:r>
    </w:p>
    <w:p>
      <w:r>
        <w:t>FR: AG_VERWALTUNGSGERICHT WPR.2024.68 du 6 août 2024</w:t>
      </w:r>
    </w:p>
    <w:p>
      <w:r>
        <w:t>IT: AG_VERWALTUNGSGERICHT WPR.2024.68 del 6 agosto 2024</w:t>
      </w:r>
    </w:p>
    <w:p>
      <w:pPr>
        <w:pStyle w:val="Heading2"/>
      </w:pPr>
      <w:r>
        <w:t>Erwägungen</w:t>
      </w:r>
    </w:p>
    <w:p>
      <w:r>
        <w:rPr>
          <w:b/>
        </w:rPr>
        <w:t>E. 2</w:t>
      </w:r>
    </w:p>
    <w:p>
      <w:r>
        <w:t>Die Haft begann am 2. August 2024, 16.50 Uhr. Sie wird in Anwendung von Art. 76 AIG für drei Monate bis zum 1. November 2024, 12.00 Uhr, angeordnet.</w:t>
      </w:r>
    </w:p>
    <w:p>
      <w:r>
        <w:rPr>
          <w:b/>
        </w:rPr>
        <w:t>E. 2.1</w:t>
      </w:r>
    </w:p>
    <w:p>
      <w:r>
        <w:t>Das MIKA begründet seine Haftanordnung damit, dass es die Ge- suchsgegnerin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Urteil des Obergerichts des Kantons Aargau vom 31. Oktober 2023 wurde die Gesuchsgegnerin gestützt auf Art. 66a Abs. 1 lit. c in Verbindung mit Art. 66b Abs. 1 des Schweizerischen Strafgesetzbuchs vom 21. De- zember 1937 (StGB; SR 311.0) für 20 Jahre aus der Schweiz verwiesen (MI-act. 138 ff.). Dieser Entscheid erwuchs in der Folge unangefochten in Rechtskraft (MI-act. 235). Damit liegt nicht nur eine erstinstanzliche, sondern auch eine rechtskräftige Landesverweisung vor.</w:t>
      </w:r>
    </w:p>
    <w:p>
      <w:r>
        <w:rPr>
          <w:b/>
        </w:rPr>
        <w:t>E. 2.3</w:t>
      </w:r>
    </w:p>
    <w:p>
      <w:r>
        <w:t>Gemäss Art. 80 Abs. 6 lit. a AIG ist die Haft zu beenden, wenn sich erweist, dass der Vollzug der Wegweisung aus rechtlichen oder tatsächlichen Gründen undurchführbar ist.</w:t>
      </w:r>
    </w:p>
    <w:p>
      <w:r>
        <w:t>- 5 - Die Gesuchsgegnerin wurde am 1. August 2024 notfallmässig und in po- lizeilicher Begleitung im Universitätsspital Basel vorgestellt und wurde anschliessend an die Untersuchung in Polizeigewahrsam entlassen (MI- act. 248 f.). Ihr Gesundheitszustand hat sich bis zum Transport nach Aarau am 5. August 2024 nicht verändert (MI-act. 251). Bei Eintritt in das Zentralgefängnis Lenzburg wurde am 5. August 2024 die Hafter- stehungsfähigkeit der Gesuchsgegnerin geprüft und bejaht (act. 43 f.). Soweit der Gesundheitszustand der Gesuchsgegnerin sich nicht ver- schlechtert, sind keine Anzeichen vorhanden, die an der Ausschaf- fungsmöglichkeit in tatsächlicher oder rechtlicher Hinsicht Zweifel auf- kommen lassen würden. 3.</w:t>
      </w:r>
    </w:p>
    <w:p>
      <w:r>
        <w:rPr>
          <w:b/>
        </w:rPr>
        <w:t>E. 3</w:t>
      </w:r>
    </w:p>
    <w:p>
      <w:r>
        <w:t>Sollte die Gesuchsgegnerin nicht hafterstehungsfähig sein, so ist umgehend die Haftentlassung anzuordnen.</w:t>
      </w:r>
    </w:p>
    <w:p>
      <w:r>
        <w:rPr>
          <w:b/>
        </w:rPr>
        <w:t>E. 3.1</w:t>
      </w:r>
    </w:p>
    <w:p>
      <w:r>
        <w:t>Das MIKA stützt seine Haftanordnung auf Art. 76 Abs. 1 lit. b Ziff. 1 in Ver- bindung mit Art. 75 Abs. 1 lit. c AIG, wonach ein Haftgrund dann vorliegt, wenn eine ausländische Person trotz eines Einreiseverbots das Gebiet der Schweiz betritt und nicht sofort weggewiesen werden kann. Auch wenn in Art. 75 Abs. 1 lit. c AIG von einem Einreiseverbot die Rede ist, kann dieser Gesetzesartikel auch auf die Landesverweisung angewendet werden (vgl. MARC BUSSLINGER/PETER UEBERSAX, Härtefallklausel und migrations- rechtliche Auswirkungen der Landesverweisung, in: Plädoyer 5/16, S. 108, wonach in Analogie zur bundesgerichtlichen Rechtsprechung zur alt- rechtlichen Landesverweisung davon auszugehen ist, dass auch die Missachtung der Fernhaltewirkung einer neurechtlichen Landesverweisung den Haftgrund von Art. 75 Abs. 1 lit. c AIG erfüllt). Mit Urteil des Obergerichts des Kantons Aargau vom 31. Oktober 2023 wurde die Gesuchsgegnerin für 20 Jahre des Landes verwiesen (MI- act. 167). Mit ihrer Einreise und ihrem Aufenthalt in der Schweiz hat die Gesuchsgegnerin gegen diese Landesverweisung verstossen. Damit ist der Haftgrund von Art. 76 Abs. 1 lit. b Ziff. 1 in Verbindung mit Art. 75 Abs. 1 lit. c AIG gegeben.</w:t>
      </w:r>
    </w:p>
    <w:p>
      <w:r>
        <w:rPr>
          <w:b/>
        </w:rPr>
        <w:t>E. 3.2</w:t>
      </w:r>
    </w:p>
    <w:p>
      <w:r>
        <w:t>Weiter stützt das MIKA seine Haftanordnung auf Art. 76 Abs. 1 lit. b Ziff. 1 in Verbindung mit Art. 75 Abs. 1 lit. h AIG, wonach ein Haftgrund gegeben ist, wenn eine ausländische Person wegen eines Verbrechens verurteilt worden ist. Gemäss Art. 10 Abs. 2 StGB sind Verbrechen Taten, die mit Freiheitsstrafe von mehr als drei Jahren bedroht sind. Die Gesuchsgegnerin wurde mit Urteil des Bezirksgerichts Brugg vom 25. September 2018 unter anderem gestützt auf Art. 139 Abs. 1 StGB verurteilt, wonach Diebstahl mit einer Freiheitsstrafe von bis zu fünf Jahren oder Geldstrafe bestraft wird. Mit Urteil des Obergerichts des Kantons</w:t>
      </w:r>
    </w:p>
    <w:p>
      <w:r>
        <w:t>- 6 - Aargau wurde die Gesuchsgegnerin unter anderem gestützt auf Art. 146 Abs. 2 StGB verurteilt, gemäss welchem Betrug mit Freiheitsstrafe von bis zu zehn Jahren bestraft wird. Somit ist auch der Haftgrund von Art. 76 Abs. 1 lit. b Ziff. 1 in Verbindung mit Art. 75 Abs. 1 lit. h AIG gegeben.</w:t>
      </w:r>
    </w:p>
    <w:p>
      <w:r>
        <w:rPr>
          <w:b/>
        </w:rPr>
        <w:t>E. 3.3</w:t>
      </w:r>
    </w:p>
    <w:p>
      <w:r>
        <w:t>Ob auch der Haftgrund von Art. 76 Abs. 1 lit. b Ziff. 3 AIG erfüllt ist kann offengelassen werden, da bereits zwei Haftgründe erfüllt sind, womit sich eine detaillierte Prüfung dieses Haftgrunds erübrigt. 4. Bezüglich der Haftbedingungen liegen keine Beanstandungen vor (Pro- tokoll S. 4, act. 34). 5. Es liegen auch keine Anzeichen dafür vor, dass das MIKA dem Beschleunigungsgebot (Art. 76 Abs. 4 AIG) nicht ausreichend Beachtung geschenkt hätte.</w:t>
      </w:r>
    </w:p>
    <w:p>
      <w:r>
        <w:rPr>
          <w:b/>
        </w:rPr>
        <w:t>E. 4</w:t>
      </w:r>
    </w:p>
    <w:p>
      <w:r>
        <w:t>Unter Kosten- und Entschädigungsfolgen. Der Einzelrichter zieht in Erwägung: I. 1. Das angerufene Gericht überprüft die Rechtmässigkeit und Ange- messenheit einer durch das MIKA angeordneten Ausschaffungshaft auf- grund einer mündlichen Verhandlung spätestens nach 96 Stunden (Art. 80 Abs. 2 des Bundesgesetzes über die Ausländerinnen und Ausländer und über die Integration vom 16. Dezember 2005 [Ausländer- und In- tegrationsgesetz, AIG; SR 142.20], § 6 des Einführungsgesetzes zum Ausländerrecht vom 25. November 2008 [EGAR; SAR 122.600]). Die Haftüberprüfungsfrist beginnt mit der ausländerrechtlich motivierten An- haltung der betroffenen Person zu laufen (vgl. BGE 127 II 174, Erw. 2. b/aa).</w:t>
      </w:r>
    </w:p>
    <w:p>
      <w:r>
        <w:t>- 4 - 2. Im vorliegenden Fall wurde die Gesuchsgegnerin am 1. August 2024, 08.20 Uhr, angehalten und am 2. August 2024, 16.50 Uhr aus der po- lizeilichen Haft entlassen. Die mündliche Verhandlung begann am</w:t>
      </w:r>
    </w:p>
    <w:p>
      <w:r>
        <w:rPr>
          <w:b/>
        </w:rPr>
        <w:t>E. 6</w:t>
      </w:r>
    </w:p>
    <w:p>
      <w:r>
        <w:t>Das MIKA ordnete die Ausschaffungshaft für drei Monate an. Nachdem der Vollzug der Rückführung massgeblich vom Verhalten der Gesuchs- gegnerin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 hältnismässigkeit verstossen würde. Eine mildere Massnahme zur Sicher- stellung des Vollzugs der Wegweisung ist nicht ersichtlich. Bezüglich der familiären Verhältnisse ergeben sich keine Anhaltspunkte, welche gegen eine Haftanordnung sprechen würden. Die Gesuchsgegnerin macht auch nicht geltend, sie sei nicht hafterstehungsfähig. Insgesamt sind keinerlei Gründe ersichtlich, welche die angeordnete Haft als unverhältnismässig erscheinen liessen. III. 1. Gemäss § 28 Abs. 1 EGAR ist das Verfahren betreffend Haftüberprüfung unentgeltlich. Demgemäss werden keine Kosten erhoben.</w:t>
      </w:r>
    </w:p>
    <w:p>
      <w:r>
        <w:t>- 7 - 2. Der Gesuchsgegnerin ist gemäss § 27 Abs. 2 EGAR zwingend ein amtlicher Rechtsvertreter zu bestellen, da der Gesuchsteller eine Haft für eine Dauer von mehr als 30 Tagen anordnete. Der Vertreter der Gesuchs- gegnerin wird aufgefordert, nach Haftentlassung der Gesuchsgegnerin seine Kostennote einzureichen. IV. 1. Die Gesuchsgegnerin wird darauf hingewiesen, dass ein Haftent- 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der Gesuchsgegnerin daher die Frage zu unterbreiten, ob sie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