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WPR.2024.67 vom 22. Juli 2024</w:t>
      </w:r>
    </w:p>
    <w:p>
      <w:r>
        <w:t>AG Verwaltungsgericht, 2024-07-22, DE</w:t>
      </w:r>
    </w:p>
    <w:p>
      <w:r>
        <w:rPr>
          <w:b/>
        </w:rPr>
        <w:t xml:space="preserve">Quelle: </w:t>
      </w:r>
      <w:r>
        <w:t>https://mcp.opencaselaw.ch/entscheid/ag_verwaltungsgericht_WPR.2024.67</w:t>
      </w:r>
    </w:p>
    <w:p>
      <w:r>
        <w:t>FR: AG_VERWALTUNGSGERICHT WPR.2024.67 du 22 juillet 2024</w:t>
      </w:r>
    </w:p>
    <w:p>
      <w:r>
        <w:t>IT: AG_VERWALTUNGSGERICHT WPR.2024.67 del 22 luglio 2024</w:t>
      </w:r>
    </w:p>
    <w:p>
      <w:pPr>
        <w:pStyle w:val="Heading2"/>
      </w:pPr>
      <w:r>
        <w:t>Erwägungen</w:t>
      </w:r>
    </w:p>
    <w:p>
      <w:r>
        <w:rPr>
          <w:b/>
        </w:rPr>
        <w:t>E. 2</w:t>
      </w:r>
    </w:p>
    <w:p>
      <w:r>
        <w:t>Die Haft begann am 18. Juli 2024, 16.00 Uhr. Sie wird in Anwendung von Art. 76 AIG für drei Monate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19. Juli 2024 wies das MIKA den Gesuchsgegner aus der Schweiz und dem Schengen-Raum weg (MI-act. 32 f.). Es liegt somit ein rechtsgenüglicher Wegweisungsentscheid vor.</w:t>
      </w:r>
    </w:p>
    <w:p>
      <w:r>
        <w:rPr>
          <w:b/>
        </w:rPr>
        <w:t>E. 2.3</w:t>
      </w:r>
    </w:p>
    <w:p>
      <w:r>
        <w:t>Gemäss Art. 80 Abs. 6 lit. a AIG ist die Haft zu beenden, wenn sich erweist, dass der Vollzug der Wegweisung aus rechtlichen oder tatsächlichen Grün- den undurchführbar ist. Der Gesuchsgegner bringt vor, eine Rückführung in den Kosovo in einem Flugzeug sei aufgrund seiner Flugangst nicht möglich. Da gemäss MIKA eine Rückführung auf dem Landweg rechtlich nicht möglich sei, sei dem- nach der Vollzug der Wegweisung aus tatsächlichen Gründen undurchführ- bar (Protokoll S. 5, act. 32). Eine Rückreise in den Kosovo über den Landweg setzt zwangsläufig die Einreise in den Schengen-Raum voraus. Da der Gesuchsgegner seinen kosovarischen Pass nicht vorweisen kann, muss ihm ein Ersatzreisepapier besorgt werden, welches allein die Ausreise aus der Schweiz und die Ein- reise in den Kosovo erlaubt. Aus diesem Grund kommt einzig eine Rück- führung mit dem Flugzeug in Frage. In Bezug auf die Flugangst ist festzu- halten, dass diese die Rückführung über den Luftweg zwar erschwert, nicht jedoch verunmöglicht. Wie der Vertreter des MIKA während der heutigen Verhandlung angemerkt hat, besteht die Möglichkeit Medikamente zu neh- men, welche den Flug angenehmer gestalten und die Flugangst dämmen sollen. Weitere Anzeichen, die an der Ausschaffungsmöglichkeit in rechtlicher oder tatsächlicher Hinsicht Zweifel aufkommen lassen würden, sind eben- falls keine ersichtlich.</w:t>
      </w:r>
    </w:p>
    <w:p>
      <w:r>
        <w:t>- 5 -</w:t>
      </w:r>
    </w:p>
    <w:p>
      <w:r>
        <w:rPr>
          <w:b/>
        </w:rPr>
        <w:t>E. 3</w:t>
      </w:r>
    </w:p>
    <w:p>
      <w:r>
        <w:t>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2.b/aa). 2. Im vorliegenden Fall wurde der Gesuchsgegner am 18. Juli 2024, 16.00 Uhr, aus der polizeilich motivierten Haft entlassen und umgehend migrationsrechtlich inhaftiert. Die mündliche Verhandlung begann am 22. Juli 2024, 11.25 Uhr; das Urteil wurde um 12.10 Uhr eröffnet. Die rich- 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w:t>
      </w:r>
    </w:p>
    <w:p>
      <w:r>
        <w:t>- 4 - 2.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rPr>
          <w:b/>
        </w:rPr>
        <w:t>E. 3.2</w:t>
      </w:r>
    </w:p>
    <w:p>
      <w:r>
        <w:t>Das MIKA vertritt die Ansicht, dass der Gesuchsgegner durch Angabe einer falschen Identität und Ausweisen mit gefälschten Dokumenten anlässlich der Polizeikontrolle vom 18. Juli 2024 seine Wahrheitspflicht verletzt habe. Mit der Verheimlichung seiner wahren Herkunft und Personalien habe er die Behörden vorsätzlich getäuscht, um sich als freizügigkeitsberechtigte Person Vorteile im Schengen-Raum verschaffen zu können. Bei Täu- schungsmanövern, um die Identität zu verschleiern, sei die Gefahr des Un- tertauchens gemäss bundesgerichtlicher Rechtsprechung regelmässig zu bejahen. Weiter habe er mit mehreren Falschangaben bei der Polizei ver- sucht, das wahre Ausmass seines rechtswidrigen Aufenthalts und der</w:t>
      </w:r>
    </w:p>
    <w:p>
      <w:r>
        <w:t>- 6 - Schwarzarbeit zu verschleiern. Auch dieses Verhalten liesse den Schluss zu, der Gesuchsgegner wolle sich einer Ausschaffung entziehen. Der Ge- suchsgegner habe zwar behauptet, ausreisewillig zu sein, jedoch sei diese Aussage im Hinblick auf sein gesamtes Verhalten als reine Schutzbehaup- tung im Zusammenhang mit der drohenden Inhaftierung zu werten. Zwar kommt dem Gesuchsgegner im strafrechtlichen Verfahren gegen sich selbst keine Wahrheitspflicht zu, es trifft aber zu, dass der Gesuchsgegner mit einem fremden Reisepass in die Schweiz eingereist ist und sich gegen- über der Polizei zunächst als diese fremde Person ausgab (siehe vorne lit. A). Wer eine falsche Identität oder einen gefälschten Ausweis verwen- det, bietet gemäss ständiger Praxis des Verwaltungsgerichts wie auch des Bundesgerichts keine Gewähr für eine selbständige Ausreise (vgl. Ent- scheid des Verwaltungsgerichts WPR.2023.21 vom 15. März 2023, Erw. 3.2 mit Verweis auf WPR.2016.49 vom 21. März 2016, Erw. 3.2 sowie BGE 122 II 49, Erw. 2a). Wie der Gesuchsteller richtig ausführt, ist in die- sen Fällen die Untertauchensgefahr regelmässig zu bejahen. Die anläss- lich des rechtlichen Gehörs vom 19. Juli 2024 und der Verhandlung vom 22. Juli 2024 gemachte Ausführung des Gesuchsgegners, zur selbständi- gen Ausreise aus der Schweiz bereit zu sein, vermag an dieser Einschät- zung nichts zu ändern. Erstens scheitert eine rechtmässige selbständige Ausreise aktuell an den fehlenden Reisedokumenten. Zweitens gab der Gesuchsgegner zu Protokoll, seine gesamte Familie und seine Verlobte würden in Italien leben und er habe deshalb darum gebeten, die Wegwei- sung nur auf die Schweiz zu beschränken und nicht für den gesamten Schengen-Raum zu verfügen. Aufgrund von diesen Aussagen ist nicht mit einer korrekten Ausreise zu rechnen, vielmehr spricht dies für ein Untertau- chen in Italien. An dieser Einschätzung vermag auch die vermeintlich am 1. August 2024 anstehende Hochzeit nichts zu ändern, zumal der Ge- suchsgegner keinen Nachweis für diese Hochzeit vorbringen konnte. Der Ausreisewille des Gesuchsgegners ist daher stark zu bezweifeln und die Untertauchensgefahr zu bejahen. Damit ist der Haftgrund von Art. 76 Abs. 1 lit. b Ziff. 3 und 4 AIG erfüllt.</w:t>
      </w:r>
    </w:p>
    <w:p>
      <w:r>
        <w:rPr>
          <w:b/>
        </w:rPr>
        <w:t>E. 4</w:t>
      </w:r>
    </w:p>
    <w:p>
      <w:r>
        <w:t>Bezüglich der Haftbedingungen liegen keine Beanstandungen vor (Proto- koll S. 3, act. 30).</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w:t>
      </w:r>
    </w:p>
    <w:p>
      <w:r>
        <w:t>- 7 -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Der Gesuchsgegner macht auch nicht geltend, er sei nicht hafterstehungsfähig. Insgesamt sind keinerlei Gründe ersicht- lich, welche die angeordnete Haft als unverhältnismässig erscheinen lies- 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w:t>
      </w:r>
    </w:p>
    <w:p>
      <w:r>
        <w:t>- 8 -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