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WPR.2024.66 vom 22. Juli 2024</w:t>
      </w:r>
    </w:p>
    <w:p>
      <w:r>
        <w:t>AG Verwaltungsgericht, 2024-07-22, DE</w:t>
      </w:r>
    </w:p>
    <w:p>
      <w:r>
        <w:rPr>
          <w:b/>
        </w:rPr>
        <w:t xml:space="preserve">Quelle: </w:t>
      </w:r>
      <w:r>
        <w:t>https://mcp.opencaselaw.ch/entscheid/ag_verwaltungsgericht_WPR.2024.66</w:t>
      </w:r>
    </w:p>
    <w:p>
      <w:r>
        <w:t>FR: AG_VERWALTUNGSGERICHT WPR.2024.66 du 22 juillet 2024</w:t>
      </w:r>
    </w:p>
    <w:p>
      <w:r>
        <w:t>IT: AG_VERWALTUNGSGERICHT WPR.2024.66 del 22 luglio 2024</w:t>
      </w:r>
    </w:p>
    <w:p>
      <w:pPr>
        <w:pStyle w:val="Heading2"/>
      </w:pPr>
      <w:r>
        <w:t>Erwägungen</w:t>
      </w:r>
    </w:p>
    <w:p>
      <w:r>
        <w:rPr>
          <w:b/>
        </w:rPr>
        <w:t>E. 2</w:t>
      </w:r>
    </w:p>
    <w:p>
      <w:r>
        <w:t>Die Haft begann am 18. Juli 2024, 15.30 Uhr. Sie wird in Anwendung von Art. 76 AIG für drei Monate bis zum 17. Oktober 2024, 12.00 Uhr, ange- ordnet.</w:t>
      </w:r>
    </w:p>
    <w:p>
      <w:r>
        <w:t>- 3 -</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 desverweisung ausgesprochen wurde (Art. 76 Abs. 1 AIG). Mit Verfügung vom 19. Juli 2024 wies das MIKA den Gesuchsgegner aus der Schweiz und dem Schengen-Raum weg. Es liegt somit ein rechts- genüglicher Wegweisungsentscheid vor.</w:t>
      </w:r>
    </w:p>
    <w:p>
      <w:r>
        <w:rPr>
          <w:b/>
        </w:rPr>
        <w:t>E. 2.3</w:t>
      </w:r>
    </w:p>
    <w:p>
      <w:r>
        <w:t>Gemäss Art. 80 Abs. 6 lit. a AIG ist die Haft zu beenden, wenn sich erweist, dass der Vollzug der Wegweisung aus rechtlichen oder tatsächlichen Grün- den undurchführbar ist. Es sind keine Anzeichen vorhanden, die an der Ausschaffungsmöglichkeit in tatsächlicher oder rechtlicher Hinsicht Zweifel aufkommen lassen wür- den.</w:t>
      </w:r>
    </w:p>
    <w:p>
      <w:r>
        <w:rPr>
          <w:b/>
        </w:rPr>
        <w:t>E. 3</w:t>
      </w:r>
    </w:p>
    <w:p>
      <w:r>
        <w:t>Unter Kosten- und Entschädigungsfolgen.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 tegration vom 16. Dezember 2005 [Ausländer- und Integrationsgesetz, AIG; SR 142.20], § 6 des Einführungsgesetzes zum Ausländerrecht vom 25. November 2008 [EGAR; SAR 122.600]). Die Haftüberprüfungsfrist be- ginnt mit der ausländerrechtlich motivierten Anhaltung der betroffenen Per- son zu laufen (vgl. BGE 127 II 174, Erw. 2.b/aa). 2. Im vorliegenden Fall wurde der Gesuchsgegner am 18. Juli 2024, 15.30 Uhr, aus der polizeilich motivierten Haft entlassen und umgehend migrationsrechtlich inhaftiert. Die mündliche Verhandlung begann am 22. Juli 2024, 10.35 Uhr; das Urteil wurde um 11.10 Uhr eröffnet. Die rich- terliche Haftüberprüfung erfolgte somit innerhalb der Frist von 96 Stunden.</w:t>
      </w:r>
    </w:p>
    <w:p>
      <w:r>
        <w:t>- 4 -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 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w:t>
      </w:r>
    </w:p>
    <w:p>
      <w:r>
        <w:t>- 5 - Ausschaffung entziehen will, ist aufgrund des ganzen bisherigen Verhal- tens, insbesondere auch gegenüber den Behörden, sowie ihrer eigenen Aussagen zu beurteilen. Auch wenn einzelne Fakten für sich eine Aus- schaffungshaft nicht rechtfertigen, kann dies aufgrund der Gesamtheit der Vorkommnisse der Fall sein. Erforderlich sind gewichtige Anhaltspunkte dafür, dass die betroffene Person sich der Ausschaffung entziehen und un- tertauchen will. Die blosse Vermutung, dass sie sich der Wegweisung ent- ziehen könnte, genügt nicht; deren Vollzug muss erheblich gefährdet er- scheinen (vgl. BGE 129 I 139, Erw. 4.2.1). Von einer Untertauchensgefahr und damit von einem Haftgrund ist zudem auch dann auszugehen, wenn das bisherige Verhalten der betroffenen Per- son darauf schliessen lässt, dass sie sich behördlichen Anordnungen wi- dersetzt (Art. 76 Abs. 1 lit. b Ziff. 4 AIG). Eine klare Trennung der beiden genannten Haftgründe ist in der Praxis kaum möglich. Vielmehr ist Art. 76 Abs. 1 lit. b Ziff. 4 AIG wohl als Präzisie- rung von Art. 76 Abs. 1 lit. b Ziff. 3 AIG zu verstehen, womit die beiden Bestimmungen als einheitlicher Haftgrund zu betrachten sind (vgl. AN- DREAS ZÜND, in: MARC SPESCHA/ANDREAS ZÜND/PETER BOLZLI/CONSTANTIN HRUSCHKA/FANNY DE WECK [Hrsg.], Kommentar Migrationsrecht, 5. Aufl., Zürich 2019, N. 7 zu Art. 76 AIG und TARKAN GÖKSU, in: MARTINA CA- RONI/THOMAS GÄCHTER/DANIELA THURNHERR [Hrsg.], Stämpflis Handkom- mentar zum Bundesgesetz über die Ausländerinnen und Ausländer [AuG], Bern 2010, N. 11 zu Art. 76).</w:t>
      </w:r>
    </w:p>
    <w:p>
      <w:r>
        <w:rPr>
          <w:b/>
        </w:rPr>
        <w:t>E. 3.2</w:t>
      </w:r>
    </w:p>
    <w:p>
      <w:r>
        <w:t>Das MIKA vertritt die Ansicht, dass der Gesuchsgegner durch Angabe einer falschen Identität und Ausweisen mit gefälschten Dokumenten anlässlich der Polizeikontrolle vom 18. Juli 2024 seine Wahrheitspflicht verletzt habe. Mit der Verheimlichung seiner wahren Herkunft und Personalien habe er die Behörden vorsätzlich getäuscht, um sich als freizügigkeitsberechtigte Person Vorteile im Schengen-Raum verschaffen zu können. Ferner dürfte der Gesuchsgegner sich bewusst unter einer falschen Identität ausgege- ben haben, um das noch bis November 2025 gültige Einreiseverbot zu um- gehen. Bei Täuschungsmanövern, um die Identität zu verschleiern, sei die Gefahr des Untertauchens gemäss bundesgerichtlicher Rechtsprechung regelmässig zu bejahen. Der Gesuchsgegner habe zwar behauptet, aus- reisewillig zu sein, jedoch sei diese Aussage im Hinblick auf sein gesamtes Verhalten als reine Schutzbehauptung im Zusammenhang mit der drohen- den Inhaftierung zu werten. Zwar kommt dem Gesuchsgegner im strafrechtlichen Verfahren gegen sich selbst keine Wahrheitspflicht zu, es trifft aber zu, dass der Gesuchsgegner mit einem fremden Reisepass in die Schweiz eingereist ist und sich gegen- über der Polizei zunächst als diese fremde Person ausgab (siehe vorne</w:t>
      </w:r>
    </w:p>
    <w:p>
      <w:r>
        <w:t>- 6 - lit. A). Wer eine falsche Identität oder einen gefälschten Ausweis verwen- det, bietet gemäss ständiger Praxis des Verwaltungsgerichts wie auch des Bundesgerichts keine Gewähr für eine selbständige Ausreise (vgl. Ent- scheid des Verwaltungsgerichts WPR.2023.21 vom 15. März 2023, Erw. 3.2 mit Verweis auf WPR.2016.49 vom 21. März 2016, Erw. 3.2 sowie BGE 122 II 49, Erw. 2a). Wie der Gesuchsteller richtig ausführt, ist in die- sen Fällen die Untertauchensgefahr regelmässig zu bejahen. Die anläss- lich des rechtlichen Gehörs vom 19. Juli 2024 und der Verhandlung vom 22. Juli 2024 gemachte Ausführung des Gesuchsgegners, zur selbständi- gen Ausreise aus der Schweiz bereit zu sein, vermag an dieser Einschät- zung nichts zu ändern. Erstens scheitert eine rechtmässige selbständige Ausreise aktuell an den fehlenden Reisedokumenten. Zweitens spricht die Tatsache, dass der Gesuchsgegner trotz gültigem Einreiseverbot erneut in die Schweiz eingereist ist und sich erneut mit gefälschten Dokumenten aus- gewiesen hat gegen einen seriösen Ausreisewillen. Vielmehr ist aufgrund dieser Indizien davon auszugehen, dass der Gesuchsgegner auch in Zu- kunft behördlichen Anordnungen nicht folgen wird. Damit ist der Haftgrund von Art. 76 Abs. 1 lit. b Ziff. 3 und 4 AIG erfüllt.</w:t>
      </w:r>
    </w:p>
    <w:p>
      <w:r>
        <w:rPr>
          <w:b/>
        </w:rPr>
        <w:t>E. 3.3</w:t>
      </w:r>
    </w:p>
    <w:p>
      <w:r>
        <w:t>Das MIKA stützt seine Haftanordnung weiter auf Art. 76 Abs. 1 lit. b Ziff. 1 i.V.m. Art. 75 Abs. 1 lit. c AIG, wonach eine Person in Haft genommen wer- den kann, wenn sie trotz Einreiseverbot das Gebiet der Schweiz betritt und nicht sofort weggewiesen werden kann. Der Gesuchsgegner reiste trotz Einreiseverbot in die Schweiz ein und ver- stiess damit gegen die Verfügung vom 4. November 2021 des SEM (MI- act. 90 ff.). Eine sofortige Ausschaffung des Gesuchsgegners ist aufgrund fehlender gültiger Reisedokumente (noch) nicht möglich. Damit ist auch der Haftgrund von Art. 76 Abs. 1 lit. b Ziff. 1 AIG i.V.m Art. 75 Abs. 1 lit. c AIG erfüllt.</w:t>
      </w:r>
    </w:p>
    <w:p>
      <w:r>
        <w:rPr>
          <w:b/>
        </w:rPr>
        <w:t>E. 4</w:t>
      </w:r>
    </w:p>
    <w:p>
      <w:r>
        <w:t>Bezüglich der Haftbedingungen liegen keine Beanstandungen vor (Proto- koll S. 3, act. 35).</w:t>
      </w:r>
    </w:p>
    <w:p>
      <w:r>
        <w:rPr>
          <w:b/>
        </w:rPr>
        <w:t>E. 5</w:t>
      </w:r>
    </w:p>
    <w:p>
      <w:r>
        <w:t>Es liegen auch keine Anzeichen dafür vor, dass das MIKA dem Beschleu- 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w:t>
      </w:r>
    </w:p>
    <w:p>
      <w:r>
        <w:t>- 7 - beantragte Haftdauer nicht zu beanstanden. Im Übrigen ist festzuhalten, dass das MIKA bisher stets bemüht war, Ausschaffungen so rasch wie möglich zu vollziehen. Sollte das MIKA entgegen seiner bisherigen Ge- 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 mässigkeit verstossen würde. Eine mildere Massnahme zur Sicherstellung des Vollzugs der Wegweisung ist nicht ersichtlich. Bezüglich der familiären Verhältnisse ergeben sich keine Anhaltspunkte, welche gegen eine Haftan- ordnung sprechen würden. Der Gesuchsgegner macht auch nicht geltend, er sei nicht hafterstehungsfähig. Insgesamt sind keinerlei Gründe ersicht- lich, welche die angeordnete Haft als unverhältnismässig erscheinen lies- 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 such frühestens einen Monat nach Haftüberprüfung gestellt werden kann (Art. 80 Abs. 5 AIG) und beim MIKA einzureichen ist (§ 15 Abs. 1 EGAR). 2. Soll die Haft gegebenenfalls verlängert werden, ist nicht zwingend eine Ver- 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w:t>
      </w:r>
    </w:p>
    <w:p>
      <w:r>
        <w:t>- 8 - 3.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