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WPR.2024.64 vom 12. Juli 2024</w:t>
      </w:r>
    </w:p>
    <w:p>
      <w:r>
        <w:t>AG Verwaltungsgericht, 2024-07-12, DE</w:t>
      </w:r>
    </w:p>
    <w:p>
      <w:r>
        <w:rPr>
          <w:b/>
        </w:rPr>
        <w:t xml:space="preserve">Quelle: </w:t>
      </w:r>
      <w:r>
        <w:t>https://mcp.opencaselaw.ch/entscheid/ag_verwaltungsgericht_WPR.2024.64</w:t>
      </w:r>
    </w:p>
    <w:p>
      <w:r>
        <w:t>FR: AG_VERWALTUNGSGERICHT WPR.2024.64 du 12 juillet 2024</w:t>
      </w:r>
    </w:p>
    <w:p>
      <w:r>
        <w:t>IT: AG_VERWALTUNGSGERICHT WPR.2024.64 del 12 luglio 2024</w:t>
      </w:r>
    </w:p>
    <w:p>
      <w:pPr>
        <w:pStyle w:val="Heading2"/>
      </w:pPr>
      <w:r>
        <w:t>Erwägungen</w:t>
      </w:r>
    </w:p>
    <w:p>
      <w:r>
        <w:rPr>
          <w:b/>
        </w:rPr>
        <w:t>E. 2</w:t>
      </w:r>
    </w:p>
    <w:p>
      <w:r>
        <w:t>Die Haft begann am 10. Juli, 17.00 Uhr. Sie wird in Anwendung von Art. 76 AIG für drei Monate bis zum 9. Oktober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des MIKA vom 11. Juli 2024 wurde der Gesuchsgegner aus der Schweiz weggewiesen (MI-act. 335 ff.). Diese wurde dem Gesuchsgegner gleichentags eröffnet (MI-act. 338). Damit liegt ein rechts- genüglicher Wegweisungsentscheid vor.</w:t>
      </w:r>
    </w:p>
    <w:p>
      <w:r>
        <w:rPr>
          <w:b/>
        </w:rPr>
        <w:t>E. 2.3</w:t>
      </w:r>
    </w:p>
    <w:p>
      <w:r>
        <w:t>Gemäss Art. 80 Abs. 6 lit. a AIG ist die Haft zu beenden, wenn sich erweist, dass der Vollzug der Wegweisung aus rechtlichen oder tatsächlichen Gründen undurchführbar ist. Im vorliegenden Fall sind keine Anzeichen vorhanden, die an der Ausschaf- fungsmöglichkeit in tatsächlicher oder rechtlicher Hinsicht Zweifel aufkom- men lassen würden. Die Identität des Gesuchsgegners steht fest und es liegen gültige Reisepapiere vor (Protokoll S. 3, act. 25). Weiter gab der Vertreter des MIKA anlässlich der heutigen Verhandlung an, dass abhängig von den Flugverbindungen und der Verfügbarkeit der Kantonspolizei Aargau mit der Ausschaffung des Gesuchsgegners innert weniger Wochen gerechnet werden könne. Es sei ein begleiteter (DEPA) Flug nach Rumänien geplant (Protokoll S. 3, act. 25). Damit stehen dem Vollzug der Wegweisung zum heutigen Zeitpunkt keine Hindernisse entgegen.</w:t>
      </w:r>
    </w:p>
    <w:p>
      <w:r>
        <w:t>- 6 -</w:t>
      </w:r>
    </w:p>
    <w:p>
      <w:r>
        <w:rPr>
          <w:b/>
        </w:rPr>
        <w:t>E. 3</w:t>
      </w:r>
    </w:p>
    <w:p>
      <w:r>
        <w:t>Oktober 2023 innerhalb dieses Kantons aufhielt (MI-act. 42 ff., 64 ff., 90 ff., 115 ff., 140 ff., 158). Als der Gesuchsgegner am 31. März 2024 schliesslich zwecks Ausschaffung einen unbegleiteten Flug nach Bukarest hätte antreten sollen, verweigerte er den Einstieg in diesen, weshalb die Rückführung abgebrochen werden musste (MI-act. 269). Anlässlich der heutigen Verhandlung äusserte sich der Gesuchsgegner schliesslich dahingehend, dass er nicht dazu bereit sei, die Schweiz freiwillig zu verlassen (Protokoll S. 3, act. 25). Unklar ist hingegen, ob er anlässlich der vorangegangenen Instruktion mit seinem Rechtsvertreter noch angegeben hatte, er sei dazu bereit, die Schweiz freiwillig zu verlassen. Die Aussagen des Gesuchsgegners und seines Rechtsvertreters sind diesbezüglich widersprüchlich (Protokoll S. 3, act. 25). Diese Widersprüche müssen jedoch nicht weiter aufgelöst werden, da sich der Gesuchsgegner anlässlich der Haftverhandlung zuletzt klar gegen eine freiwillige Ausreise ausgesprochen hat. Auch das bisherige Gesamtverhalten des Gesuchsgegners lässt aufgrund der renitenten Grundhaltung gegenüber behördlichen Anordnungen eine klare Untertauchensgefahr erkennen. Die vom Gesuchsgegner gegenüber seinem Rechtsvertreter anlässlich der Instruktion und anlässlich der Gewährung des rechtlichen Gehörs getätigten Aussagen, er werde die Schweiz freiwillig verlassen (MI-act. 342), sind unter Berücksichtigung seines bisherigen Verhaltens demnach als reine Schutzbehauptungen zu werten. Wenn der Rechtsvertreter des Gesuchsgegners vorbringt, gegen eine Untertauchensgefahr spreche der Umstand, dass sich der Gesuchsgegner jeweils an exponierten Orten bzw. Städten aufhalte und sich dort den Behörden zur Verfügung halte (act. 28), kann dem nicht gefolgt werden. Vielmehr hat der Gesuchsgegner wiederholt und wissentlich gegen behördliche Anordnungen verstossen und mit seinem bisherigen Verhalten klare Anzeichen für eine Untertauchensgefahr gesetzt hat. Sodann erfüllt sein Verhalten auch die speziellen Haftgründe von Art. 76 Abs. 1 lit. b Ziff. 1 i.V.m. Art. 75 Abs. 1 lit. b und c AIG, zumal eine sofortige Wegweisung im Sinn der Ausführungen in der Haftanordnung nicht möglich und zunächst noch eine polizeilich begleitete Rückführung organisiert werden muss. Zusammenfassend sind somit einerseits der allgemeine Haftgrund von Art. 76 Abs. 1 lit. b Ziff. 3 und 4 AIG (Untertauchensgefahr) und</w:t>
      </w:r>
    </w:p>
    <w:p>
      <w:r>
        <w:t>- 8 - andererseits auch die speziellen Haftgründe von Art. 76 Abs. 1 lit. b Ziff. 1 i.V.m. Art. 75 Abs. 1 lit. b und c AIG (Missachtung einer Ausgrenzung bzw. eines Einreiseverbots und Unmöglichkeit der sofortigen Wegweisung) erfüllt.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Weiter stützt sich die Haftanordnung auf Art. 76 Abs. 1 lit. b Ziff. 1 AIG in Verbindung mit Art. 75 Abs. 1 lit. b und c AIG, da der Gesuchsgegner mehrfach gegen die durch das Zürcher Migrationsamt verfügte Ausgrenzung und gegen das vom SEM verfügte Einreiseverbot verstossen habe und ein sofortiger Wegweisungsvollzug nicht möglich sei. Ob im Sinne von Art. 76 Abs. 1 lit. b Ziff. 3 AIG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letztgenannten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der für die Zeit vom 11. März 2024 bis am 10. März 2027 mit einen Einreiseverbot für das Gebiet der Schweiz und</w:t>
      </w:r>
    </w:p>
    <w:p>
      <w:r>
        <w:t>- 7 - Liechtenstein belegt ist (MI-act. 240) und gegen den ein vollstreckbarer Wegweisungsentscheid vorliegt (MI-act. 335 ff.), reiste am 6. Juni mit dem Zug aus Ungarn über Österreich in die Schweiz ein (MI-act. 315). Mit seiner Einreise in die Schweiz missachtete er das gegen ihn verhängte Einreiseverbot vom 22. Februar 2024. Bereits in der Vergangenheit widersetzte sich der Gesuchsgegner wiederholt behördlichen Anordnungen, indem er sich insgesamt mindestens sechsmal in Missachtung der Ausgrenzung aus dem Gebiet des Kantons Zürich vom</w:t>
      </w:r>
    </w:p>
    <w:p>
      <w:r>
        <w:rPr>
          <w:b/>
        </w:rPr>
        <w:t>E. 4</w:t>
      </w:r>
    </w:p>
    <w:p>
      <w:r>
        <w:t>Bezüglich der Haftbedingungen liegen keine Beanstandungen vor (Protokoll S. 3, act. 25).</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insbesondere in Anbetracht des bisherigen renitenten Verhaltens des Gesuchsgegners und seiner konstanten Weigerung, behördlichen Anordnungen Folge zu leisten. Entgegen den Ausführungen des Rechtsvertreters des Gesuchsgegners (act. 28) lässt sich aus dem Umstand, dass Letzterer sich anlässlich der Gewährung des rechtlichen Gehörs betreffend die Anordnung einer Ausschaffungshaft vom 11. Juli 2024 dahingehend geäussert hat, er wolle die Schweiz freiwillig verlassen (MI-act. 343) nicht folgern, dass ihm im Sinne des Verhältnismässigkeitsgrundsatzes die Möglichkeit zur freiwilligen Ausreise gewährt werden sollte. Wie bereits oben unter Erw. I/ 3.2 ausgeführt, ist diese Aussage als reine Schutzbehauptung zu werten, weshalb der Gesuchsgegner daraus nichts zu seinen Gunsten ableiten kann. Bezüglich der familiären Verhältnisse ergeben sich keine Anhaltspunkte, welche gegen eine Haftanordnung sprechen würden. Der Gesuchsgegner</w:t>
      </w:r>
    </w:p>
    <w:p>
      <w:r>
        <w:t>- 9 -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