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WPR.2024.62 vom 8. Juli 2024</w:t>
      </w:r>
    </w:p>
    <w:p>
      <w:r>
        <w:t>AG Verwaltungsgericht, 2024-07-08, DE</w:t>
      </w:r>
    </w:p>
    <w:p>
      <w:r>
        <w:rPr>
          <w:b/>
        </w:rPr>
        <w:t xml:space="preserve">Quelle: </w:t>
      </w:r>
      <w:r>
        <w:t>https://mcp.opencaselaw.ch/entscheid/ag_verwaltungsgericht_WPR.2024.62</w:t>
      </w:r>
    </w:p>
    <w:p>
      <w:r>
        <w:t>FR: AG_VERWALTUNGSGERICHT WPR.2024.62 du 8 juillet 2024</w:t>
      </w:r>
    </w:p>
    <w:p>
      <w:r>
        <w:t>IT: AG_VERWALTUNGSGERICHT WPR.2024.62 del 8 luglio 2024</w:t>
      </w:r>
    </w:p>
    <w:p>
      <w:pPr>
        <w:pStyle w:val="Heading2"/>
      </w:pPr>
      <w:r>
        <w:t>Erwägungen</w:t>
      </w:r>
    </w:p>
    <w:p>
      <w:r>
        <w:rPr>
          <w:b/>
        </w:rPr>
        <w:t>E. 2</w:t>
      </w:r>
    </w:p>
    <w:p>
      <w:r>
        <w:t>Die Haft begann am 5. Juli 2024, 12.00 Uhr. Sie wird in Anwendung von Art. 76 AIG für drei Monate bis zum 4. Oktober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des MIKA vom 4. Juli 2024 wurde der Gesuchsgegner aus der Schweiz und dem Schengen-Raum weggewiesen (MI-act. 193 ff.). Diese wurde dem Gesuchsgegner gleichentags eröffnet (MI-act. 196). Somit liegt ein vollstreckbarer erstinstanzlicher Wegweisungsentscheid vor.</w:t>
      </w:r>
    </w:p>
    <w:p>
      <w:r>
        <w:rPr>
          <w:b/>
        </w:rPr>
        <w:t>E. 2.3</w:t>
      </w:r>
    </w:p>
    <w:p>
      <w:r>
        <w:t>Gemäss Art. 80 Abs. 6 lit. a AIG ist die Haft zu beenden, wenn sich erweist, dass der Vollzug der Wegweisung aus rechtlichen oder tatsächlichen Gründen undurchführbar ist. Im vorliegenden Fall sind keine Anzeichen vorhanden, die an der Ausschaffungsmöglichkeit in tatsächlicher oder rechtlicher Hinsicht Zweifel aufkommen lassen würden. Die Identität des Gesuchsgegners steht fest und die originale Identitätskarte des Gesuchsgegners ist im Dossier des SEM hinterlegt (MI-act. 102). Weiter gab der Vertreter des MIKA anlässlich der heutigen Verhandlung an, dass bei einer allfälligen Bestätigung der Ausschaffungshaft noch heute ein Flug nach Istanbul gebucht werden und die Ausschaffung des Gesuchsgegners somit spätestens im Verlauf der nächsten Woche vollzogen werden könne (Protokoll S. 3, act. 34).</w:t>
      </w:r>
    </w:p>
    <w:p>
      <w:r>
        <w:t>- 6 - Damit stehen dem Vollzug der Wegweisung zum heutigen Zeitpunkt keine Hindernisse entgegen. 3.</w:t>
      </w:r>
    </w:p>
    <w:p>
      <w:r>
        <w:rPr>
          <w:b/>
        </w:rPr>
        <w:t>E. 3</w:t>
      </w:r>
    </w:p>
    <w:p>
      <w:r>
        <w:t>Die Sprechende sei als amtliche Vertreterin für das vorliegende Verfahren zu bestellen und zu entschädigen.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vollstreckbarer Wegweisungs- entscheid vorliegt, hätte die Schweiz am 14. Februar 2024 verlassen müssen (MI-act. 132). Dem Ausreisegespräch vom 27. Februar 2024, zu welchem der Gesuchsgegner mit Schreiben vom 19. Februar 2024 vorgeladen wurde, ist dieser unentschuldigt ferngeblieben (MI-act. 134, 142). Danach galt er zunächst als verschwunden. Anlässlich der heutigen Verhandlung gab der Gesuchsgegner zu verstehen, er sei</w:t>
      </w:r>
    </w:p>
    <w:p>
      <w:r>
        <w:t>- 7 - fälschlicherweise davon ausgegangen, die Schweiz erst am 28. Februar 2024 verlassen zu müssen. Wie er zu dieser Annahme gelangte, vermochte der Gesuchsgegner nicht zu substanziieren (Protokoll S. 2, act. 33). Ferner machte der Gesuchsgegner geltend, er habe bereits im Februar 2024 die Schweiz in Richtung Serbien verlassen und der Wegweisungsverfügung des SEM vom 27. April 2023 somit Folge geleistet. Seinen Aufenthalt in Serbien konnte der Gesuchsgegner jedoch in keiner Form belegen (Protokoll S. 3, act. 34) und mit seinem zeitweiligen Untertauchen und seiner jedenfalls erst nach Ablauf der Ausreisefrist erfolgten und unkontrollierte Ausreise ist er seiner Ausreiseverpflichtung nicht fristgerecht nachgekommen. Auch der Fakt, dass der Gesuchsgegner in diversen weiteren Ländern (Deutschland, Griechenland, Niederlande) Asylgesuche (MI-act. 15, 31, 190) und in der Schweiz ein Mehrfachgesuch gestellt hat, deuten zumindest im Gesamtkontext auf eine konkrete Untertauchensgefahr hin. Seine Weigerung, behördlichen Anordnungen Folge zu leisten, stellte der Gesuchsgegner bis ganz zuletzt unter Beweis. So weigerte er sich zunächst anlässlich des Ausreisegesprächs vom 4. Dezember 2023 (MI- act. 97), des rechtlichen Gehörs betreffend die Anordnung einer Ausschaffungshaft vom 4. Juli 2024 (MI-act. 190) und zuletzt anlässlich der heutigen Verhandlung, die Schweiz freiwillig in Richtung Türkei zu verlassen, bzw. machte er seine Ausreise von der Abgabe von Sicherheitsgarantien abhängig (Protokoll S. 3, act. 34). In dieser konstanten Weigerung, der Ausreisepflicht nachzukommen, ist ein klares Anzeichen dafür zu erkennen, dass sich der Gesuchsgegner der Ausschaffung entziehen will. Unter diesen Umständen steht fest, dass der Gesuchsgegner mit seinem Verhalten klare Anzeichen für eine Untertauchensgefahr gesetzt hat und es ist nicht davon auszugehen, dass er nach einer Entlassung aus der Ausschaffungshaft die Schweiz auf direktem Weg freiwillig in Richtung Türkei verlassen würde. Damit ist der Haftgrund von Art. 76 Abs. 1 lit. b Ziff. 3 und 4 AIG erfüllt.</w:t>
      </w:r>
    </w:p>
    <w:p>
      <w:r>
        <w:rPr>
          <w:b/>
        </w:rPr>
        <w:t>E. 4</w:t>
      </w:r>
    </w:p>
    <w:p>
      <w:r>
        <w:t>Bezüglich der Haftbedingungen liess der Gesuchsgegner anlässlich der heutigen Verhandlung verlauten, er habe die Ausschaffungshaft bisher in Einzelhaft verbracht (Protokoll S. 3, act. 34). Ob dies tatsächlich zutrifft und was die Hintergründe hierfür sein könnten, liess sich an der Haftverhandlung nicht abschliessend klären (Protokoll S. 4, act. 35). Jedoch ist nicht davon auszugehen, dass der Gesuchsgegner nach seiner Verlegung in das Zentrum für ausländerrechtliche Administrativhaft Zürich in Einzelhaft versetzt wird und sind sich alle Verfahrensbeteiligten einig, dass ein solches Haftregime besonderer Rechtfertigung bedürfte.</w:t>
      </w:r>
    </w:p>
    <w:p>
      <w:r>
        <w:t>- 8 - Weitere Gründe, welche die Haftbedingungen als unangemessen erschei- nen lassen, sind nicht ersichtlich und werden vom Gesuchsgegner auch nicht geltend gemacht.</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Dies gilt umso mehr, als der Gesuchsgegner sich mehrfach weigerte, die Schweiz zu verlassen und mit seinem Verhalten keinerlei Gewähr für eine ordnungsgemässe Ausreise in sein Heimatland bietet. Insbesondere erscheint die von der Rechtsvertreterin des Gesuchsgegners beantragte Ersatzmassnahme in Form einer Eingrenzung auf das Gebiet des Kantons Aargau (act. 37) nicht zielführend. Diesfalls wäre es für den Gesuchsgegner ohne weiteres möglich, sich den Behörden bis zum Ausreisezeitpunkt im Kanton Aargau zur Verfügung zu halten und trotzdem unterzutauchen, sobald der Rückflug anzutreten wäre, wovon angesichts der deutlich erstellten Untertauchensgefahr auszugehen ist. Hinsichtlich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w:t>
      </w:r>
    </w:p>
    <w:p>
      <w:r>
        <w:t>- 9 - 2. Dem Gesuchsgegner ist gemäss § 27 Abs. 2 EGAR zwingend eine amtliche Rechtsvertreterin zu bestellen, da der Gesuchsteller eine Haft für eine Dauer von mehr als 30 Tagen anordnete. Die Vertreterin des Gesuchsgegners wird aufgefordert, nach Haftentlassung des Gesuchsgegners ihre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