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WPR.2024.61 vom 26. Juli 2024</w:t>
      </w:r>
    </w:p>
    <w:p>
      <w:r>
        <w:t>AG Verwaltungsgericht, 2024-07-26, DE</w:t>
      </w:r>
    </w:p>
    <w:p>
      <w:r>
        <w:rPr>
          <w:b/>
        </w:rPr>
        <w:t xml:space="preserve">Quelle: </w:t>
      </w:r>
      <w:r>
        <w:t>https://mcp.opencaselaw.ch/entscheid/ag_verwaltungsgericht_WPR.2024.61</w:t>
      </w:r>
    </w:p>
    <w:p>
      <w:r>
        <w:t>FR: AG_VERWALTUNGSGERICHT WPR.2024.61 du 26 juillet 2024</w:t>
      </w:r>
    </w:p>
    <w:p>
      <w:r>
        <w:t>IT: AG_VERWALTUNGSGERICHT WPR.2024.61 del 26 luglio 2024</w:t>
      </w:r>
    </w:p>
    <w:p>
      <w:pPr>
        <w:pStyle w:val="Heading2"/>
      </w:pPr>
      <w:r>
        <w:t>Erwägungen</w:t>
      </w:r>
    </w:p>
    <w:p>
      <w:r>
        <w:rPr>
          <w:b/>
        </w:rPr>
        <w:t>E. 4</w:t>
      </w:r>
    </w:p>
    <w:p>
      <w:r>
        <w:t>Zusammenfassend ist festzuhalten, dass dem Beschwerdeführer nicht rechtsgenüglich vorgeworfen werden kann, er habe mit seinem Verhalten die öffentliche Sicherheit und Ordnung erheblich gestört oder gefährdet. Die Verfügung vom 28. Mai 2024 ist damit aufzuheben. Angesichts dieser Ausgangslage erübrigen sich Ausführungen zur Verhältnismässigkeit der von der Kantonspolizei verfügten Wegweisung und Fernhaltung für die ma- ximal zulässige Dauer von drei Monaten. III. 1. Gemäss § 31 Abs. 2 VRPG werden die Verfahrenskosten in der Regel nach Massgabe des Unterliegens und Obsiegens auf die Parteien verlegt. Gleiches gilt gemäss § 32 Abs. 2 VRPG für die Parteikosten</w:t>
      </w:r>
    </w:p>
    <w:p>
      <w:r>
        <w:t>- 12 - 2. Bei diesem Verfahrensausgang obsiegt der Beschwerdeführer. Die Verfah- renskosten sind auf die Staatskasse zu nehmen (§ 31 Abs. 2 VRPG). Die mit Verfügung vom 4. Juli 2024 gewährte unentgeltliche Rechtspflege er- weist sich somit als obsolet. 3. 3.1 Als unterliegende Partei hat die Kantonspolizei Aargau dem Beschwerde- führer die Parteikosten für das Verfahren vor dem Verwaltungsgericht zu ersetzen (§ 32 Abs. 2 VRPG). Die mit Verfügung vom 4. Juli 2024 gewährte Einsetzung des Anwalts des Beschwerdeführers als unentgeltlicher Rechtsbeistand erweist sich somit ebenfalls als obsolet. 3.2 Die Festsetzung der Höhe der Parteientschädigung richtet sich nach dem Dekret über die Entschädigung der Anwälte vom 10. November 1987 (An- waltstarif, AnwT; SAR 291.150). Verfahren betreffend Massnahmen nach dem Polizeigesetz sind sogenannte nicht vermögensrechtliche Streitigkei- ten. Die Parteientschädigung setzt sich damit zusammen aus einer Grund- entschädigung zwischen Fr. 1'210.00 und Fr. 14'740.00 (§ 8a Abs. 3 i. V. m. § 3 Abs. 1 lit. b AnwT) sowie den Zu- und Abschlägen (§§ 6–8 AnwT). In- nerhalb dieses Rahmens ist die Grundentschädigung nach dem mutmass- lichen Aufwand des Anwaltes oder der Anwältin sowie nach der Bedeutung und der Schwierigkeit des Falles festzusetzen (§ 3 Abs. 1 lit. b AnwT). Durch die tarifgemässe Entschädigung sind die in einem Verfahren notwen- digen und entsprechend der Bedeutung der Sache üblichen Leistungen des Anwaltes oder der Anwältin einschliesslich der üblichen Vergleichsbemü- hungen abgegolten (§ 2 Abs. 1 AnwT). Die Entschädigung ist als Gesamt- betrag festzusetzen. Auslagen und Mehrwertsteuer sind darin enthalten (§ 8c AnwT). 3.3 Im vorliegenden Fall ist in Anwendung der genannten Gesetzesbestimmun- gen die Entschädigung inkl. Auslagen und Mehrwertsteuer auf Fr. 1'300.00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