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WPR.2024.57 vom 28. Juni 2024</w:t>
      </w:r>
    </w:p>
    <w:p>
      <w:r>
        <w:t>AG Verwaltungsgericht, 2024-06-28, DE</w:t>
      </w:r>
    </w:p>
    <w:p>
      <w:r>
        <w:rPr>
          <w:b/>
        </w:rPr>
        <w:t xml:space="preserve">Quelle: </w:t>
      </w:r>
      <w:r>
        <w:t>https://mcp.opencaselaw.ch/entscheid/ag_verwaltungsgericht_WPR.2024.57</w:t>
      </w:r>
    </w:p>
    <w:p>
      <w:r>
        <w:t>FR: AG_VERWALTUNGSGERICHT WPR.2024.57 du 28 juin 2024</w:t>
      </w:r>
    </w:p>
    <w:p>
      <w:r>
        <w:t>IT: AG_VERWALTUNGSGERICHT WPR.2024.57 del 28 giugno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§ 28 Abs. 1 EGAR ist das Verfahren betreffend Haftüberprüfung unentgeltlich. Demgemäss werden keine Kosten erhoben.</w:t>
      </w:r>
    </w:p>
    <w:p>
      <w:r>
        <w:rPr>
          <w:b/>
        </w:rPr>
        <w:t>E. 2</w:t>
      </w:r>
    </w:p>
    <w:p>
      <w:r>
        <w:t>Soll die Haft gegebenenfalls erneut verlängert werden (Art. 78 Abs. 2 und 3 AIG), hat das MIKA dem Gesuchsgegner vorgängig das rechtliche Gehör - insbesondere betreffend seine Ausreisebereitschaft - zu gewähren. Gleichzeitig ist ihm die Frage zu unterbreiten, ob er die Durchführung einer mündlichen Verhandlung im Sinne von Art. 78 Abs. 4 AIG wünscht und ob er in diesem Fall eine Präsenzverhandlung verlangt oder mit einer Skype- Verhandlung einverstanden ist (Urteil des Bundesgerichts 2C_846/2021 vom 19. November 2021). Die allfällige Anordnung einer Haftverlängerung ist dem Verwaltungsgericht spätestens acht Arbeitstage vor Ablauf der bewilligten Haft einzureichen. Der Einzelrichter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