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WPR.2024.53 vom 13. Juni 2024</w:t>
      </w:r>
    </w:p>
    <w:p>
      <w:r>
        <w:t>AG Verwaltungsgericht, 2024-06-13, DE</w:t>
      </w:r>
    </w:p>
    <w:p>
      <w:r>
        <w:rPr>
          <w:b/>
        </w:rPr>
        <w:t xml:space="preserve">Quelle: </w:t>
      </w:r>
      <w:r>
        <w:t>https://mcp.opencaselaw.ch/entscheid/ag_verwaltungsgericht_WPR.2024.53</w:t>
      </w:r>
    </w:p>
    <w:p>
      <w:r>
        <w:t>FR: AG_VERWALTUNGSGERICHT WPR.2024.53 du 13 juin 2024</w:t>
      </w:r>
    </w:p>
    <w:p>
      <w:r>
        <w:t>IT: AG_VERWALTUNGSGERICHT WPR.2024.53 del 13 giugno 2024</w:t>
      </w:r>
    </w:p>
    <w:p>
      <w:pPr>
        <w:pStyle w:val="Heading2"/>
      </w:pPr>
      <w:r>
        <w:t>Erwägungen</w:t>
      </w:r>
    </w:p>
    <w:p>
      <w:r>
        <w:rPr>
          <w:b/>
        </w:rPr>
        <w:t>E. 2</w:t>
      </w:r>
    </w:p>
    <w:p>
      <w:r>
        <w:t>Die Ausschaffungshaft sei bis maximal 10. Juli 2024, 12.00 Uhr zu verlän- gern.</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Landesverweisung ausgesprochen wurde (Art. 76 Abs. 1 AIG). Mit Entscheid vom 6. September 2022 lehnte das SEM das Asylgesuch des Gesuchsgegners ab und wies ihn aus der Schweiz weg (MI-act. 24 ff.). Die- ser Entscheid erwuchs am 6. Oktober 2022 unangefochten in Rechtskraft (MI-act. 61). Das in der Folge am 8. August 2023 gestellte Mehrfachasyl- gesuch schrieb das SEM mit Verfügung vom 26. September 2023 formlos ab. Ferner wurde der Gesuchsgegner mit inzwischen rechtskräftigem Urteil des Bezirksgerichts Baden vom 20. September 2023 für eine Dauer von 12 Jahren des Landes verwiesen (MI-act. 126 ff.). Damit liegt nicht nur ein rechtskräftiger Wegweisungsentscheid, sondern auch eine rechtskräftige Landesverweisung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Dies umso weniger, als die Identität des Gesuchsgegners am 22. No- vember 2022 durch das algerische Generalkonsulat in Genf anerkannt wor- den ist (MI-act. 67), am 27.März erfolgreich ein Counselling durchgeführt werden konnte und die Ausstellung eines Ersatzreisedokuments in Aus- sicht gestellt wurde (MI-act. 236 ff.). Die Buchung des DEPU-Flugs nach Algier per 9. Juli 2024 wurde durch das MIKA am 31. Mai 2024 veranlasst, weil gemäss Informationen des SEM die Ausstellung eines Ersatzreisedokuments für den Gesuchsgegner in Aus- sicht gestellt wurde (MI-act. 236 ff., 274 f.). Durch seine fehlende Mitwir- kung hat der Gesuchsgegner die Papierbeschaffung gänzlich den</w:t>
      </w:r>
    </w:p>
    <w:p>
      <w:r>
        <w:t>- 6 - Behörden überlassen. Aus diesem Umstand kann – entgegen der Auffas- sung des Rechtsvertreters des Gesuchsgegners – nicht abgeleitet werden, es bestehe keine Vollzugsperspektive, da einerseits keine Dokumente der algerischen Behörden vorlägen und andererseits der Gesuchsgegner ge- äussert habe, er werde weder die Schweiz freiwillig verlassen noch den für ihn gebuchten DEPU-Flug antreten. Eine Haftentlassung wegen undurch- führbarem Vollzug rechtfertigt sich nur dann, wenn keine oder bloss eine höchst unwahrscheinliche, rein theoretische Möglichkeit besteht, die Weg- weisung zu vollziehen (BGE 147 II 49, Erw. 2.2.3). Dies ist vorliegend nicht der Fall, zumal das SEM das MIKA nur aufgrund des positiven Counselling- Ergebnisses zur Flugbuchung veranlasst hat, mit anderen Worten die zeit- nahe Ausstellung eines Ersatzreisedokuments gesichert ist. Der Vollzug der Wegweisung des Gesuchsgegners erscheint umso wahrscheinlicher, als regelmässige Flugverbindungen nach Algerien bestehen (Protokoll S. 3, act. 28). Weitere Anzeichen, die an der Ausschaffungsmöglichkeit in rechtlicher oder tatsächlicher Hinsicht Zweifel aufkommen lassen würden, sind eben- falls keine ersichtlich.</w:t>
      </w:r>
    </w:p>
    <w:p>
      <w:r>
        <w:rPr>
          <w:b/>
        </w:rPr>
        <w:t>E. 3</w:t>
      </w:r>
    </w:p>
    <w:p>
      <w:r>
        <w:t>Der mit Urteil vom 7. März 2024 festgestellte Haftgrund besteht nach wie vor (vgl. WPR.2024.22, Erw. II/3.2; MI-act. 312 f.). Dies umso mehr, als der Gesuchsgegner weiterhin nicht bereit ist, die Schweiz freiwillig Richtung Al- gerien zu verlassen und seine Kooperation hinsichtlich der Beschaffung gültiger Reisepapiere verweigert (MI-act. 286 ff.).</w:t>
      </w:r>
    </w:p>
    <w:p>
      <w:r>
        <w:rPr>
          <w:b/>
        </w:rPr>
        <w:t>E. 4</w:t>
      </w:r>
    </w:p>
    <w:p>
      <w:r>
        <w:t>Bezüglich der Haftbedingungen liegen keine Beanstandungen vor, die ge- eignet wären, die Haft als unverhältnismässig erscheinen zu lassen (Proto- koll S. 3, act. 28).</w:t>
      </w:r>
    </w:p>
    <w:p>
      <w:r>
        <w:rPr>
          <w:b/>
        </w:rPr>
        <w:t>E. 5</w:t>
      </w:r>
    </w:p>
    <w:p>
      <w:r>
        <w:t>Es liegen auch keine Anzeichen dafür vor, dass das MIKA dem Beschleu- nigungsgebot (Art. 76 Abs. 4 AIG) nicht ausreichend Beachtung geschenkt hätte.</w:t>
      </w:r>
    </w:p>
    <w:p>
      <w:r>
        <w:rPr>
          <w:b/>
        </w:rPr>
        <w:t>E. 6.1</w:t>
      </w:r>
    </w:p>
    <w:p>
      <w:r>
        <w:t>Gemäss Art. 79 Abs. 1 AIG darf die ausländerrechtliche Inhaftierung im Sinne von Art. 75–78 AIG zusammen die maximale Haftdauer von sechs Monaten nicht überschreiten. Eine darüber hinausgehende Verlängerung auf höchstens 18 Monate, bzw. für Minderjährige zwischen 15 und 18 Jah- ren auf höchstens zwölf Monate, ist nur zulässig, wenn entweder die be- troffene Person nicht mit den zuständigen Behörden kooperiert oder sich</w:t>
      </w:r>
    </w:p>
    <w:p>
      <w:r>
        <w:t>- 7 - die Übermittlung der für die Ausreise erforderlichen Unterlagen durch einen Staat, der kein Schengen-Staat ist, verzögert (Art. 79 Abs. 2 AIG).</w:t>
      </w:r>
    </w:p>
    <w:p>
      <w:r>
        <w:rPr>
          <w:b/>
        </w:rPr>
        <w:t>E. 6.2</w:t>
      </w:r>
    </w:p>
    <w:p>
      <w:r>
        <w:t>Im vorliegenden Fall befindet sich die Gesuchsgegner mit Ablauf der bewil- ligten Haft bereits seit drei Monaten in ausländerrechtlicher Haft im Sinne von Art. 75–78 AIG (Ausschaffungshaft 28. März 2024 bis 27. Juni 2024). Die sechsmonatige Frist wird damit am 27. September 2024 enden und die Haft kann längstens bis zum 27. September 2025 verlängert werden.</w:t>
      </w:r>
    </w:p>
    <w:p>
      <w:r>
        <w:rPr>
          <w:b/>
        </w:rPr>
        <w:t>E. 6.3</w:t>
      </w:r>
    </w:p>
    <w:p>
      <w:r>
        <w:t>Das MIKA ordnete die Verlängerung der Ausschaffungshaft um weitere drei Monate, d.h. bis zum 26. September 2024, an. Da die ausländerrechtliche Inhaftierung im Sinne von Art. 75–78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 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 gen Gewohnheit das Beschleunigungsgebot verletzen, besteht die Mög- lichkeit, ein Haftentlassungsgesuch zu stellen.</w:t>
      </w:r>
    </w:p>
    <w:p>
      <w:r>
        <w:rPr>
          <w:b/>
        </w:rPr>
        <w:t>E. 7</w:t>
      </w:r>
    </w:p>
    <w:p>
      <w:r>
        <w:t>Abschliessend stellt sich die Frage, ob die Haftverlängerung deshalb nicht zu bestätigen sei, weil sie im konkreten Fall gegen das Prinzip der Verhält- nismässigkeit verstossen würde. Eine mildere Massnahme zur Sicherstel- lung des Vollzugs der Wegweisung ist nicht ersichtlich. Bezüglich der fami- 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 scheinen liessen. III. 1. Gemäss § 28 Abs. 1 EGAR ist das Verfahren betreffend Haftüberprüfung unentgeltlich. Demgemäss werden keine Kosten erhoben.</w:t>
      </w:r>
    </w:p>
    <w:p>
      <w:r>
        <w:t>- 8 - 2. Der mit Urteil vom 7. März 2024 bestätigte amtliche Rechtsvertreter bleibt im Amt und kann seine Kostennote im Rahmen des Verfahrens WPR.2024.22 einreichen.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wei- tere Verhandlung mit Parteibefragung durchzuführen (vgl. Aargauische Ge- richts- und Verwaltungsentscheide [AGVE] 2009, S. 359., Erw. I/4.3 ff.). Im Rahmen des rechtlichen Gehörs hat das MIKA dem Gesuchsgegner daher die Frage zu unterbreiten, ob er die Durchführung einer mündlichen Ver- handlung wünscht und ob er in diesem Fall eine Präsenzverhandlung ver- langt oder mit einer Verhandlung per Video-Telefonie einverstanden ist (Ur- teil des Bundesgerichts 2C_846/2021 vom 19. November 2021). Die An- ordnung einer allfälligen Haftverlängerung ist dem Verwaltungsgericht spä- testens acht Arbeitstage vor Ablauf der bewilligten Haft einzureichen. 3. Der vorliegende Entscheid wurde den Parteien zusammen mit einer kurzen Begründung anlässlich der heutigen per Video-Telefonie durchgeführten Verhandlung mündlich eröffnet. Das Dispositiv wurde den Parteien im An- schluss an die Verhandlung per E-Mail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