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WPR.2024.46 vom 16. Mai 2024</w:t>
      </w:r>
    </w:p>
    <w:p>
      <w:r>
        <w:t>AG Verwaltungsgericht, 2024-05-16, DE</w:t>
      </w:r>
    </w:p>
    <w:p>
      <w:r>
        <w:rPr>
          <w:b/>
        </w:rPr>
        <w:t xml:space="preserve">Quelle: </w:t>
      </w:r>
      <w:r>
        <w:t>https://mcp.opencaselaw.ch/entscheid/ag_verwaltungsgericht_WPR.2024.46</w:t>
      </w:r>
    </w:p>
    <w:p>
      <w:r>
        <w:t>FR: AG_VERWALTUNGSGERICHT WPR.2024.46 du 16 mai 2024</w:t>
      </w:r>
    </w:p>
    <w:p>
      <w:r>
        <w:t>IT: AG_VERWALTUNGSGERICHT WPR.2024.46 del 16 maggio 2024</w:t>
      </w:r>
    </w:p>
    <w:p>
      <w:pPr>
        <w:pStyle w:val="Heading2"/>
      </w:pPr>
      <w:r>
        <w:t>Erwägungen</w:t>
      </w:r>
    </w:p>
    <w:p>
      <w:r>
        <w:rPr>
          <w:b/>
        </w:rPr>
        <w:t>E. 2</w:t>
      </w:r>
    </w:p>
    <w:p>
      <w:r>
        <w:t>Die Haft begann am 14. Mai 2024, 12.00 Uhr. Sie wird in Anwendung von Art. 76 AIG für drei Monate bis zum 13. August 2024, 12.00 Uhr, angeord- 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w:t>
      </w:r>
    </w:p>
    <w:p>
      <w:r>
        <w:t>- 7 - Der Gesuchsgegner wurde am 14. Mai 2024 durch das MIKA aus der Schweiz und dem Schengen-Raum weggewiesen (MI-act. 163 ff.). Diese Verfügung wurde ihm gleichentags eröffnet (MI-act. 166 f.). Damit liegt ein rechtsgenüglicher Wegweisungsentscheid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3.</w:t>
      </w:r>
    </w:p>
    <w:p>
      <w:r>
        <w:rPr>
          <w:b/>
        </w:rPr>
        <w:t>E. 3</w:t>
      </w:r>
    </w:p>
    <w:p>
      <w:r>
        <w:t>Die am 13. Mai 2024 angeordnete Vorbereitungshaft gestützt auf Art. 75 AIG wird hiermit beendet.</w:t>
      </w:r>
    </w:p>
    <w:p>
      <w:r>
        <w:rPr>
          <w:b/>
        </w:rPr>
        <w:t>E. 3.1.1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MARC SPESCHA/ANDREAS ZÜND/PETER BOLZLI/ CONSTANTIN HRUSCHKA/FANNY DE WECK [Hrsg.], Kommentar Migrations- recht, 5. Aufl., Zürich 2019, N. 7 zu Art. 76 AIG und TARKAN GÖKSU, in:</w:t>
      </w:r>
    </w:p>
    <w:p>
      <w:r>
        <w:t>- 8 - MARTINA CARONI/THOMAS GÄCHTER/DANIELA THURNHERR [Hrsg.], Stämpflis Handkommentar zum Bundesgesetz über die Ausländerinnen und Auslän- der [AuG], Bern 2010, N. 11 zu Art. 76).</w:t>
      </w:r>
    </w:p>
    <w:p>
      <w:r>
        <w:rPr>
          <w:b/>
        </w:rPr>
        <w:t>E. 3.1.2</w:t>
      </w:r>
    </w:p>
    <w:p>
      <w:r>
        <w:t>Das MIKA vertritt die Ansicht, die Untertauchensgefahr sei dadurch erstellt, dass der Gesuchsgegner seine Ausreisebereitschaft erst angesichts der drohenden Haft, anlässlich der Gewährung des rechtlichen Gehörs betref- fend Anordnung einer Vorbereitungshaft vom 13. Mai 2024, signalisiert habe (MI-act. 177). Dem kann nicht gefolgt werden. Es trifft zwar zu, dass der Gesuchsgegner erst nach Haftandrohung angab, sein Asylgesuch zu- rückziehen und die Schweiz freiwillig verlassen zu wollen. Jedoch wurde ihm vorher nie die Gelegenheit gegeben, sich zu einer allfälligen Ausreise- bereitschaft zu äussern bzw. wurde er gar nicht konkret danach gefragt. Damit kann aus dem Zeitpunkt der entsprechenden Äusserung nicht ge- schlossen werden, es handle sich lediglich um eine Schutzbehauptung. Dass der Gesuchsgegner während seines Klinikaufenthalts gegenüber ei- nem Mitarbeiter des SEM offenbar angegeben haben soll, nicht freiwillig ausreisen zu wollen (MI-act. 85, 116), ändert daran nichts, darf eine ent- sprechende Erklärung dem Betroffenen doch nicht zum Nachteil gereichen, solange noch ein Asylverfahren hängig ist (ANDREAS ZÜND, a.a.O., N. 7 zu Art. 76 AIG mit weiterem Hinweis). Schliesslich widerspricht sich das MIKA hinsichtlich der Glaubhaftigkeit der Aussagen des Gesuchsgegners selbst, indem es "aufgrund seiner Aussage, so schnell wie möglich nach Tunesien ausreisen zu wollen", unmittelbar im Anschluss an das Gespräch betref- fend Anordnung einer Vorbereitungshaft eine Flugbuchung in Auftrag gab (MI-act. 176). Das MIKA begründet die Untertauchensgefahr weiter mit dem Gesamtver- halten des Gesuchsgegners, mit welchem er gezeigt habe, nicht zur Ko- operation bereit zu sein, namentlich durch die Weigerung, mit nicht-musli- mischen Polizeibeamten zu kooperieren (Protokoll S. 5, act. 33). Dass sich der Gesuchsgegner weigerte, mit Nicht-Muslimen zu kooperieren, ist ange- sichts seiner psychiatrischen Diagnose zu relativieren, zumal der Verlaufs- bericht der PDAG vom 3. Mai 2024 festhält, er präsentiere sich "psychisch stabiler und kooperativer" (MI-act. 151) und auch die Polizei anlässlich ihrer Einsätze von März 2024 angab, er habe sich kooperativ verhalten (MI- act. 107, 112 sowie sinngemäss MI-act. 115 am Schluss). Zudem geht aus den Akten nicht hervor, dass der Gesuchsgegner während seines Aufent- halts in der PDAG oder seit seiner Entlassung aus derselben solches Ver- halten jemals wieder gezeigt hätte. Entsprechend kann dem MIKA nicht dahingehend gefolgt werden, dass der Gesuchsgegner in seinem bisheri- gen Gesamtverhalten eine renitente Grundeinstellung zeige. Im Gegenteil ist mit dem Vertreter des Gesuchsgegners festzuhalten, dass sich der Ge- suchsgegner stets in den ihm zugewiesenen Asylunterkünften aufhielt, was ein gewichtiges Indiz gegen die Untertauchensgefahr darstellt (ANDREAS</w:t>
      </w:r>
    </w:p>
    <w:p>
      <w:r>
        <w:t>- 9 - ZÜND, a.a.O., N. 7 zu Art. 76 AIG). Ferner scheint sich der Gesuchsgegner seit seiner Einweisung in die PDAG kooperativ und angemessen zu verhal- ten, wie aus dem Verlaufsbericht der PDAG vom 3. Mai 2024 hervorgeht (MI-act. 151). Schliesslich bringt das MIKA vor, es sei ein Strafverfahren gegen den Ge- suchsteller hängig, weshalb bei ihm eher als bei "unbescholtenen Perso- nen" davon auszugehen sei, er werde sich künftig behördlichen Anordnun- gen widersetzen (MI-act. 177). Auch dem kann nicht gefolgt werden. Aus einem hängigen Strafverfahren kann keine Untertauchensgefahr abgeleitet werden. Vielmehr gilt bis zu dessen rechtskräftigem Abschluss bzw. bis zur rechtskräftigen Verurteilung für den Gesuchsgegner die Unschuldsvermu- tung, die auch das MIKA zu beachten hat (siehe Entscheid des Einzelrich- ters des Verwaltungsgerichts WPR.2019.92 vom 12. August 2019, Erw. II/3.2). Zusammenfassend ist nicht ersichtlich, inwiefern die Beteuerung des Ge- suchsgegners, die Schweiz freiwillig verlassen zu wollen, eine reine Schutzbehauptung sein sollte. Die Untertauchensgefahr ist zu verneinen.</w:t>
      </w:r>
    </w:p>
    <w:p>
      <w:r>
        <w:rPr>
          <w:b/>
        </w:rPr>
        <w:t>E. 3.2.1</w:t>
      </w:r>
    </w:p>
    <w:p>
      <w:r>
        <w:t>Das MIKA stützt seine Haftanordnung zudem auf Art. 76 Abs. 1 lit. b Ziff. 1 i.V.m. Art. 75 Abs. 1 lit. g AIG, wonach eine Person in Haft genommen wer- den kann, wenn sie andere Personen ernsthaft bedroht oder an Leib und Leben erheblich gefährdet und deshalb strafrechtlich verfolgt wird oder ver- urteilt wurde. Vom Haftgrund erfasst werden namentlich die strafbaren Handlungen gegen Leib und Leben, gegen die Freiheit und – teilweise – gegen die sexuelle Integrität (ANDREAS ZÜND, a.a.O, N. 11 zu Art. 75 AIG). Die verlangte Ernsthaftigkeit der Bedrohung bzw. die erhebliche Gefähr- dung an Leib und Leben muss im Einzelfall geprüft werden, auch wenn der Gesetzgeber vermutungsweise davon ausgeht, dass, wer straffällig gewor- den ist, eher dazu neigt, sich allgemein den behördlichen Anordnungen zu widersetzen (Urteil des Bundesgerichts 2C_263/2019 vom 27. Juni 2019, Erw. 3.2). Delikte mit Bagatellcharakter reichen nicht aus (Urteil des Bun- desgerichts 2C_293/2012 vom 18. April 2021, Erw. 4.3). Der Haftgrund ent- fällt, wenn im Rahmen einer pflichtgemässen Prognose aufgrund klarer An- haltspunkte auf ein künftiges Wohlverhalten geschlossen werden kann (Ur- teil des Bundesgerichts 2C_263/2019 vom 27. Juni 2019, Erw. 3.2 mit wei- teren Hinweisen). Ebenfalls entfällt der Haftgrund, wenn das Strafverfahren eingestellt oder bei einem Antragsdelikt der Strafantrag zurückgezogen wird (ANDREAS ZÜND, a.a.O, N. 11 zu Art. 75 AIG).</w:t>
      </w:r>
    </w:p>
    <w:p>
      <w:r>
        <w:rPr>
          <w:b/>
        </w:rPr>
        <w:t>E. 3.2.2</w:t>
      </w:r>
    </w:p>
    <w:p>
      <w:r>
        <w:t>Das MIKA bringt vor, der Gesuchsgegner habe andere Personen ernsthaft bedroht und werde deshalb strafrechtlich verfolgt. Relevant sei einzig, dass</w:t>
      </w:r>
    </w:p>
    <w:p>
      <w:r>
        <w:t>- 10 - der Gesuchsgegner strafrechtlich verfolgt werde, eine Gesamtwürdigung hinsichtlich des Ausgangs des Strafverfahrens sei nicht vorgenommen wor- den (Protokoll S. 5, act. 33). Konkret wird dem Gesuchsgegner vorgeworfen, er habe mehrfach "Allahu akbar" gerufen und andere Personen gefragt, ob sie Muslime seien, wobei er mutmasslich eine entsprechende Liste führe. Ausserdem habe er einem anderen Asylbewerber sein Mobiltelefon entwendet und diesem mitgeteilt, dass er das Mobiltelefon erst wieder erhalten werde, wenn er zu einem "richtigen" Muslim konvertiert sei. Ferner habe der Gesuchsgegner gegen- über einer Angestellten der Asylunterkunft kryptische Aussagen gemacht und sei ihr bis zu deren Auto gefolgt. Diese dem Gesuchsgegner vorgeworfenen Verhaltensweisen bilden (zu- mindest teilweise) Gegenstand eines Strafverfahrens. Wie unter Erwä- gung II/3.2.1 hiervor dargetan, genügt dieser Umstand allein entgegen den Ausführungen des MIKA auch bei der Bedrohung und der Gefährdung an Leib und Leben nach Art. 76 Abs. 1 lit. b Ziff. 1 i.V.m. Art. 75 Abs. 1 lit. g AIG nicht ohne Weiteres für die Begründung des Haftgrundes. Vielmehr ist die Ernsthaftigkeit der Bedrohung bzw. die Erheblichkeit der Gefährdung im Einzelfall zu prüfen. Der Entscheid des ZMG vom 16. Februar 2024, mit welchem die Untersuchungshaft des Gesuchsgegners abgelehnt worden ist (siehe vorne lit. A), spricht diesbezüglich eine deutliche Sprache: Zwar beurteilte das ZMG betreffend den Vorwurf der versuchten Nötigung den dringenden Tatverdacht nicht, da sich gestützt darauf eine Untersuchungs- haft (ohnehin) als unverhältnismässig erwiesen hätte, wies aber darauf hin, dass die Strafbarkeit des entsprechenden Verhaltens "sehr fraglich" er- scheine (MI-act. 43). Betreffend die Schreckung der Bevölkerung hielt das Haftgericht fest, "dass der Ausruf "Allahu akbar" – während eines Gebets! – oder eine missionarische Haltung/Betätigung [nicht] zu einer Tatbeständ- lichkeit i.S.v. Art. 258 StGB führe" (MI-act. 44) und folgerte, dass ein drin- gender Tatverdacht im Sinne dieser Strafnorm "offensichtlich nicht erfüllt sei" (ebd.). Aus diesen Erwägungen wird deutlich, dass im vorliegenden Fall das gegen den Gesuchsgegner eröffnete Strafverfahren keinesfalls für sich den Haftgrund bzw. die Ernsthaftigkeit der vom Gesuchsgegner aus- gehenden Gefahr zu begründen vermag. Die verlangte Ernsthaftigkeit der Bedrohung bzw. die erhebliche Gefähr- dung an Leib und Leben lässt sich auch anhand der Akten nicht erstellen: Weder der Ausruf "Allahu akbar" noch eine missionarische Haltung stellen per se eine ernsthafte Bedrohung oder Gefährdung an Leib und Leben dar. "Allahu akbar" heisst sinngemäss nichts anderes, als "Gott ist gross/der Grösste". Der entsprechende Ausruf während des Gebets, wie er vorlie- gend getätigt wurde, ist nicht unüblich. Das MIKA vermag nicht darzulegen, inwiefern dadurch eine tatsächliche oder bloss potenzielle ernsthafte Be- drohung vorlag. Ebenso wenig wird dargetan und ist aus den Akten auch</w:t>
      </w:r>
    </w:p>
    <w:p>
      <w:r>
        <w:t>- 11 - nicht ersichtlich, dass (und weshalb) sich Personen dadurch und durch das Erkunden nach ihrer Religion ernsthaft bedroht gefühlt hätten. Dass der Gesuchsgegner diesbezüglich eine Liste führen sollte, lässt sich anhand der Akten nicht bestätigen. Im Gegenteil führte die Sichtung der beim Ge- suchsgegner sichergestellten Notizen keine solche Liste zu Tage (vgl. vorne lit. A). Dass der Gesuchsgegner dem anderen Asylbewohner dessen Mobiltelefon schliesslich zwecks Nötigung zum Konvertieren zum Islam weggenommen haben soll, erweist sich anhand der Akten als reine Interpretation. Dem Po- lizeirapport vom 18. April 2024 ist zu entnehmen (MI-act. 78, Hervorhebung hinzugefügt): Dem Mitbewohner D._____ dessen Mobiltelefon weggenommen und das Gerät erst auf wiederholtes Insistieren dem anwesenden Betreuungsper- sonal ausgehändigt. Dabei für den Mobiltelefoneigentümer Unverständli- ches auf Arabisch herumgeschrien. Sodann weinend in arabischer Spra- che gebetet und in bruchstückhaftem Englisch in Bezug auf den Geschä- digten erwähnt "This no good man, no telephon", wobei aus den Gesamt- umständen abgeleitet wurde, dass dabei dessen Religion gemeint war und somit zumindest versucht worden ist, den Mobiltelefonei- gentümer zu einem Konvertieren zu einem "richtigen Moslem" zu nö- tigen. – Das Telefon konnte dem Berechtigten durch Funktionäre des Asylbewerberzentrums unbeschädigt zurückgegeben werden. Abgesehen davon, dass sich damit das diesbezüglich dem Gesuchsgegner vorgeworfene Verhalten nicht erstellen lässt, wäre dadurch auch die Schwelle einer ernsthaften Bedrohung nicht erreicht. Dasselbe gilt für die kryptischen Aussagen gegenüber einer Angestellten der Asylunterkunft. Weiter ist zu berücksichtigen, dass beim Gesuchsgegner nach seiner Ein- weisung in die Klinik der PDAG mittels fürsorgerischer Unterbringung eine paranoide Schizophrenie diagnostiziert wurde (vgl. vorne lit. A). Es ist auf- grund der vorliegenden Akten sehr wahrscheinlich, dass das auffällige Ver- halten des Gesuchsgegners auf dessen psychische Erkrankung zurückzu- führen ist und nicht – wie das MIKA in seiner Argumentation unterstellt – auf eine radikale religiöse Haltung. Die psychische Erkrankung wurde wäh- rend des stationären Klinikaufenthalts therapiert und dem Gesuchsgegner eine Depotmedikation verabreicht. Es ist davon auszugehen, dass die Kli- nik der PDAG den Gesuchsgegner nicht aus der fürsorgerischen Unterbrin- gung entlassen hätte, wenn von ihm im Zeitpunkt der Entlassung eine Fremdgefährdung ausgegangen wäre. Zudem sind seit seiner Entlassung keine auffälligen Verhaltensweisen aktenkundig. Daraus ergibt sich, dass weder die einzelnen dem Gesuchsgegner vorge- worfenen Verhaltensweisen (so sie sich denn erstellen lassen) für sich noch deren Summe die für den Haftgrund nach Art. 75 Abs. 1 lit. b AIG ver- langte Ernsthaftigkeit der Bedrohung bzw. die erhebliche Gefährdung an</w:t>
      </w:r>
    </w:p>
    <w:p>
      <w:r>
        <w:t>- 12 - Leib und Leben zu begründen vermögen. Das Vorliegen dieses Haftgrunds ist zu verneinen.</w:t>
      </w:r>
    </w:p>
    <w:p>
      <w:r>
        <w:rPr>
          <w:b/>
        </w:rPr>
        <w:t>E. 3.3</w:t>
      </w:r>
    </w:p>
    <w:p>
      <w:r>
        <w:t>Da die vom MIKA vorgebrachten Haftgründe der Untertauchensgefahr und der ernsthaften Bedrohung und der Gefährdung an Leib und Leben nicht bestätigt werden können und das MIKA darüber hinaus keine weiteren Haftgründe aufführt und solche auch nicht erkennbar sind, liegt kein Haft- grund vor.</w:t>
      </w:r>
    </w:p>
    <w:p>
      <w:r>
        <w:rPr>
          <w:b/>
        </w:rPr>
        <w:t>E. 4</w:t>
      </w:r>
    </w:p>
    <w:p>
      <w:r>
        <w:t>Unter diesen Umständen kann die Haftanordnung aufgrund des fehlenden Haftgrunds nicht bestätigt werden, weshalb sich die Prüfung der restlichen Voraussetzungen erübrigt.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