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WPR.2024.33 vom 18. April 2024</w:t>
      </w:r>
    </w:p>
    <w:p>
      <w:r>
        <w:t>AG Verwaltungsgericht, 2024-04-18, DE</w:t>
      </w:r>
    </w:p>
    <w:p>
      <w:r>
        <w:rPr>
          <w:b/>
        </w:rPr>
        <w:t xml:space="preserve">Quelle: </w:t>
      </w:r>
      <w:r>
        <w:t>https://mcp.opencaselaw.ch/entscheid/ag_verwaltungsgericht_WPR.2024.33</w:t>
      </w:r>
    </w:p>
    <w:p>
      <w:r>
        <w:t>FR: AG_VERWALTUNGSGERICHT WPR.2024.33 du 18 avril 2024</w:t>
      </w:r>
    </w:p>
    <w:p>
      <w:r>
        <w:t>IT: AG_VERWALTUNGSGERICHT WPR.2024.33 del 18 aprile 2024</w:t>
      </w:r>
    </w:p>
    <w:p>
      <w:pPr>
        <w:pStyle w:val="Heading2"/>
      </w:pPr>
      <w:r>
        <w:t>Erwägungen</w:t>
      </w:r>
    </w:p>
    <w:p>
      <w:r>
        <w:rPr>
          <w:b/>
        </w:rPr>
        <w:t>E. 2</w:t>
      </w:r>
    </w:p>
    <w:p>
      <w:r>
        <w:t>Die Haft begann am 15. April 2024, 14:00 Uhr. Sie wird in Anwendung von Art. 76 AIG für drei Monate bis zum 15. Juli 2024,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Verfügung vom 15. April 2024 wurde der Gesuchsgegner per sofort aus der Schweiz und dem Schengenraum weggewiesen (MI-act. 45 ff.). Dieser Entscheid wurde dem Gesuchsgegner gleichentags eröffnet, was er unterschriftlich bestätigte (MI-act. 48).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w:t>
      </w:r>
    </w:p>
    <w:p>
      <w:r>
        <w:t>- 5 - Der Gesuchsgegner führte anlässlich der Verhandlung vom 18. April 2024 aus, er wolle ein Asylgesuch stellen (Protokoll S. 3 f., act. 37 f.). Nachdem jede Äusserung einer Person, ein Asylgesuch stellen zu wollen, als Ersuchen um Schutz vor Verfolgung im Sinne von Art. 18 des Asylgesetzes vom 26. Juni 1998 (AsylG, SR 142.31) zu betrachten ist, ist davon auszugehen, dass der Gesuchsgegner damit ein Asylgesuch gestellt hat. Gemäss Art. 42 AsylG darf sich jede Person, die in der Schweiz ein Asylgesuch gestellt hat, bis zum Abschluss des Verfahrens in der Schweiz aufhalten. Zwar ist der Vollzug der Wegweisung bis zum rechtskräftigen Abschluss des Asylverfahrens unzulässig. Dies bedeutet aber nicht, dass die Ausschaffungshaft zwingend aufzuheben wäre. Nach konstanter Rechtsprechung des Bundesgerichts ist die Bestätigung einer Ausschaffungshaft gestützt auf Art. 76 AIG während eines hängigen Asylverfahrens zulässig, wenn das Asylgesuch während der Ausschaffungshaft gestellt wird und damit gerechnet werden kann, dass das Verfahren in absehbarer Zeit abgeschlossen und die Ausschaffung vollzogen werden kann (vgl. BGE 140 II 409 Erw. 2.3.3; Urteil des Bundesgerichts 2C_167/2023 vom 28. September 2023, Erw. 5.3.1). Es sind keine Anzeichen vorhanden, dass das Asylverfahren längere Zeit beanspruchen würde, zumal der Gesuchsgegner keine Gründe für eine Verfolgung durch seinen Heimatstaat geltend gemacht hat, er sogar mit dem kosovarischen Konsul zwecks Papierbeschaffung Kontakt hatte (Protokoll S. 4 f., act. 38 f.), sich aus den Akten keinerlei Hinweise auf eine Verfolgung ergeben und sein Rechtsvertreter ebenfalls nichts vorbrachte, das auf das Vorliegen von Asylgründen hindeuten würde. Das Asylgesuch des Gesuchsgegner stellt damit keinen Haftbeendigungsgrund im Sinne von Art. 80 Abs. 6 lit. a AIG dar.</w:t>
      </w:r>
    </w:p>
    <w:p>
      <w:r>
        <w:rPr>
          <w:b/>
        </w:rPr>
        <w:t>E. 3</w:t>
      </w:r>
    </w:p>
    <w:p>
      <w:r>
        <w:t>Unter Kosten- und Entschädigungsfolgen.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w:t>
      </w:r>
    </w:p>
    <w:p>
      <w:r>
        <w:t>- 4 - Anhaltung der betroffenen Person zu laufen (vgl. BGE 127 II 174, Erw. 2. b/aa). 2. Im vorliegenden Fall wurde der Gesuchsgegner am 15. April 2024, 14.00 Uhr, aus der Umwandlungshaft dem MIKA zugeführt (MI-act. 36, 58). Die mündliche Verhandlung begann am 18. April 2024, 10.38 Uhr, das Urteil wurde um 11.20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AsylG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w:t>
      </w:r>
    </w:p>
    <w:p>
      <w:r>
        <w:t>- 6 -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Das MIKA vertritt die Ansicht, dass der Gesuchsgegner durch Vorweisen der falschen Identität anlässlich der Polizeikontrolle vom 12. April 2024 sowie durch die Angabe der falschen Identität anlässlich seiner Einvernahme vom 13. April 2024 seine Wahrheitspflicht verletzt habe. Mit der Verheimlichung seiner wahren Personalien habe er die Behörden vorsätzlich getäuscht, um in die Schweiz einreisen zu können. Bei Täuschungsmanövern, um die Identität zu verschleiern, sei die Gefahr des Untertauchens gemäss bundesgerichtlicher Rechtsprechung regelmässig zu bejahen. Weiter verfüge der Gesuchsgegner über keinen festen Wohnsitz, womit die Gefahr der illegalen Weiterreise bestehe. Die anderslautenden Angaben des Beschwerdeführers erschienen als Schutzbehauptungen. Zwar kommt dem Gesuchsgegner im strafrechtlichen Verfahren gegen sich selbst keine Wahrheitspflicht zu, es trifft aber zu, dass der Gesuchsgegner mit einem fremden Reisepass in die Schweiz eingereist ist und sich gegenüber der Polizei zunächst als diese fremde Person ausgab (siehe vorne lit. A). Wer eine falsche Identität oder einen gefälschten Ausweis verwendet, bietet gemäss ständiger Praxis des Verwaltungsgerichts wie auch des Bundesgerichts keine Gewähr für eine selbständige Ausreise (vgl. Entscheid des Verwaltungsgerichts WPR.2023.21 vom 15. März 2023, Erw. 3.2 mit Verweis auf WPR.2016.49 vom 21. März 2016, Erw. 3.2 sowie BGE 122 II 49, Erw. 2a). Wie der Gesuchsteller richtig ausführt, ist in diesen Fällen die Untertauchensgefahr regelmässig zu bejahen. Die anlässlich des rechtlichen Gehörs und der Verhandlung vom 18. April 2024 gemachte Ausführung des Gesuchsgegners, zur selbständigen Ausreise aus der Schweiz bereit zu sein, vermag an dieser Einschätzung nichts zu ändern. Erstens scheitert eine rechtmässige selbständige Ausreise aktuell</w:t>
      </w:r>
    </w:p>
    <w:p>
      <w:r>
        <w:t>- 7 - an den fehlenden Reisedokumenten, zweitens widerspricht die entsprechende Ausführung der gleichzeitigen Angabe, ein Asylgesuch stellen zu wollen (Protokoll S. 5, act. 39) und erscheint deshalb wenig glaubhaft.</w:t>
      </w:r>
    </w:p>
    <w:p>
      <w:r>
        <w:rPr>
          <w:b/>
        </w:rPr>
        <w:t>E. 4</w:t>
      </w:r>
    </w:p>
    <w:p>
      <w:r>
        <w:t>Bezüglich der Haftbedingungen liegen keine Beanstandungen vor (Protokoll S. 3, act. 37).</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Auch den Ausführungen des Rechtsvertreters, wonach die Haft angesichts der aktenkundigen Ausreisebereitschaft des Gesuchsgegners unverhältnismässig sei, ist mit Verweis auf das unter Ziffer II/3.2 hiervor Gesagte nicht zu folgen.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w:t>
      </w:r>
    </w:p>
    <w:p>
      <w:r>
        <w:t>- 8 -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Verhandlung vom 18. April 2024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