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WPR.2024.27 vom 27. März 2024</w:t>
      </w:r>
    </w:p>
    <w:p>
      <w:r>
        <w:t>AG Verwaltungsgericht, 2024-03-27, DE</w:t>
      </w:r>
    </w:p>
    <w:p>
      <w:r>
        <w:rPr>
          <w:b/>
        </w:rPr>
        <w:t xml:space="preserve">Quelle: </w:t>
      </w:r>
      <w:r>
        <w:t>https://mcp.opencaselaw.ch/entscheid/ag_verwaltungsgericht_WPR.2024.27</w:t>
      </w:r>
    </w:p>
    <w:p>
      <w:r>
        <w:t>FR: AG_VERWALTUNGSGERICHT WPR.2024.27 du 27 mars 2024</w:t>
      </w:r>
    </w:p>
    <w:p>
      <w:r>
        <w:t>IT: AG_VERWALTUNGSGERICHT WPR.2024.27 del 27 marzo 2024</w:t>
      </w:r>
    </w:p>
    <w:p>
      <w:pPr>
        <w:pStyle w:val="Heading2"/>
      </w:pPr>
      <w:r>
        <w:t>Erwägungen</w:t>
      </w:r>
    </w:p>
    <w:p>
      <w:r>
        <w:rPr>
          <w:b/>
        </w:rPr>
        <w:t>E. 2</w:t>
      </w:r>
    </w:p>
    <w:p>
      <w:r>
        <w:t>Im vorliegenden Fall wurde die bestehende Haft bis zum 2. April 2024, 12.00 Uhr, bestätigt (Urteil des Einzelrichters des Verwaltungsgerichts vom 20. Dezember 2023, WPR.2023.108; MI-act. 522 ff.). Das MIKA ordnete am 18. März 2024 eine Haftverlängerung um weitere drei Monate an (act. 1 ff.). Im Anschluss an die Gewährung des rechtlichen Gehörs verzichtete der Gesuchsgegner auf eine mündliche Haftüberprüfung (MI- act. 577). Die heutige Überprüfung der Haftverlängerung erfolgt somit ohne mündliche Verhandlung und vor Ablauf der bereits bewilligten Haft. II. 1. Wurde ein erstinstanzlicher Weg- oder Ausweisungsentscheid eröffnet, kann die zuständige kantonale Behörde die betroffene Person zur Sicherstellung des Vollzugs in Haft nehmen bzw. bei bestehender Haft eine Haftverlängerung anordnen (Art. 76 AIG). Zuständige kantonale Behörde im Sinne von Art. 76 AIG ist gemäss § 13 Abs. 1 EGAR das MIKA. Im vorliegenden Fall wurde die Haftverlängerung durch das MIKA und damit durch die zuständige Behörde angeordnet (act. 1 ff.).</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3. Oktober 2023 hat das MIKA den Gesuchsgegner unter Anordnung der sofortigen Vollstreckbarkeit aus der Schweiz und dem Schengen-Raum weggewiesen (MI-act. 401 ff.). Diese Verfügung wurde dem Gesuchsgegner gleichentags eröffnet, womit ein rechtsgenüglicher Wegweisungsentscheid vorliegt (MI-act. 404).</w:t>
      </w:r>
    </w:p>
    <w:p>
      <w:r>
        <w:rPr>
          <w:b/>
        </w:rPr>
        <w:t>E. 2.3</w:t>
      </w:r>
    </w:p>
    <w:p>
      <w:r>
        <w:t>Gemäss Art. 80 Abs. 6 lit. a AIG ist die Haft zu beenden, wenn sich erweist, dass der Vollzug der Wegweisung aus rechtlichen oder tatsächlichen Gründen undurchführbar ist.</w:t>
      </w:r>
    </w:p>
    <w:p>
      <w:r>
        <w:t>- 6 - Es sind keine Anzeichen vorhanden, die an der Ausschaffungsmöglichkeit in tatsächlicher oder rechtlicher Hinsicht Zweifel aufkommen lassen würden.</w:t>
      </w:r>
    </w:p>
    <w:p>
      <w:r>
        <w:rPr>
          <w:b/>
        </w:rPr>
        <w:t>E. 3</w:t>
      </w:r>
    </w:p>
    <w:p>
      <w:r>
        <w:t>Der mit Urteil vom 5. Oktober 2023 bzw. 20. Dezember 2023 festgestellte Haftgrund der Untertauchensgefahr besteht nach wie vor (vgl. WPR.2023.88, Erw. II/3; MI-act. 429 ff. und WPR.2023.108, Erw. II/3; MI- act. 528). Dies gilt umso mehr als der Gesuchsgegner anlässlich der Gewährung des rechtlichen Gehörs vom 18. März 2024 jegliche Aussage verweigerte, weshalb nicht von einer Ausreisebereitschaft auszugehen ist (act. 5 ff.).</w:t>
      </w:r>
    </w:p>
    <w:p>
      <w:r>
        <w:rPr>
          <w:b/>
        </w:rPr>
        <w:t>E. 4</w:t>
      </w:r>
    </w:p>
    <w:p>
      <w:r>
        <w:t>Bezüglich der Haftbedingungen liegen keine Beanstandungen vor, die geeignet wären, die Haft als unverhältnismässig zu bezeichnen. Daran ändert auch die gesundheitliche Situation des Gesuchsgegners nichts, da aus dem inzwischen eingegangenen medizinischen Bericht keine gravierende gesundheitliche Probleme hervorgehen.</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sechs Monaten in ausländerrechtlicher Haft im Sinne von Art. 75 – 78 AIG (Ausschaffungshaft 3. Oktober 2023 – 2. April 2024). Die sechsmonatige Frist wird damit am 2. April 2024 enden und die Haft kann längstens bis zum 2. April 2025 verlängert werden.</w:t>
      </w:r>
    </w:p>
    <w:p>
      <w:r>
        <w:t>- 7 -</w:t>
      </w:r>
    </w:p>
    <w:p>
      <w:r>
        <w:rPr>
          <w:b/>
        </w:rPr>
        <w:t>E. 6.3</w:t>
      </w:r>
    </w:p>
    <w:p>
      <w:r>
        <w:t>Das MIKA ordnete die Verlängerung der Ausschaffungshaft um weitere drei Monate, d.h. bis zum 2. Juli 2024, an. Mit der angeordneten Verlängerung der Ausschaffungshaft von drei Monaten wird die Dauer von sechs Monaten überschritten, womit die Voraussetzungen von Art. 79 Abs. 2 AIG erfüllt sein müssen. Im vorliegenden Fall konnte der Gesuchsgegner trotz einer erfolgreichen Identifizierung während mehrerer Monate an keinem Counseling teilnehmen, weil die algerischen Behörden offenbar nicht in der Lage waren, den Gesuchsgegner zu einem früheren Zeitpunkt aufzubieten. Da die Teilnahme am Counseling eine zwingende Voraussetzung für die Ausstellung eines Ersatzreisepapiers ist, haben es die algerischen Behörden zu verantworten, dass die Rückführung des Gesuchsgegners nicht innert sechs Monaten durchgeführt werden konnte (MI-act. 436, 479). Die Voraussetzung von Art. 79 Abs. 2 lit. b AIG ist daher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w:t>
      </w:r>
    </w:p>
    <w:p>
      <w:r>
        <w:t>- 8 - 2. Die mit Urteil des Einzelrichters des Verwaltungsgerichts vom 5. Oktober 2023 bestätigte amtliche Rechtsvertreterin bleibt im Amt und kann ihre Kostennote im Rahmen des Verfahrens WPR.2023.88 einreichen.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