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WPR.2024.22 vom 7. März 2024</w:t>
      </w:r>
    </w:p>
    <w:p>
      <w:r>
        <w:t>AG Verwaltungsgericht, 2024-03-07, DE</w:t>
      </w:r>
    </w:p>
    <w:p>
      <w:r>
        <w:rPr>
          <w:b/>
        </w:rPr>
        <w:t xml:space="preserve">Quelle: </w:t>
      </w:r>
      <w:r>
        <w:t>https://mcp.opencaselaw.ch/entscheid/ag_verwaltungsgericht_WPR.2024.22</w:t>
      </w:r>
    </w:p>
    <w:p>
      <w:r>
        <w:t>FR: AG_VERWALTUNGSGERICHT WPR.2024.22 du 7 mars 2024</w:t>
      </w:r>
    </w:p>
    <w:p>
      <w:r>
        <w:t>IT: AG_VERWALTUNGSGERICHT WPR.2024.22 del 7 marzo 2024</w:t>
      </w:r>
    </w:p>
    <w:p>
      <w:pPr>
        <w:pStyle w:val="Heading2"/>
      </w:pPr>
      <w:r>
        <w:t>Erwägungen</w:t>
      </w:r>
    </w:p>
    <w:p>
      <w:r>
        <w:rPr>
          <w:b/>
        </w:rPr>
        <w:t>E. 2</w:t>
      </w:r>
    </w:p>
    <w:p>
      <w:r>
        <w:t>Die Haft beginnt am 28. März 2024, 07:00 Uhr. Sie wird in Anwendung von Art. 76 AIG für drei Monate bis zum 27. Juni 2024, 12.00 Uhr, ange- 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 haft rechtmässig ist, Gewissheit darüber zu verschaffen, ob ein erstin- stanzlicher Weg- oder Ausweisungsentscheid eröffnet oder eine erstin- stanzliche Landesverweisung ausgesprochen wurde (Art. 76 Abs. 1 AIG). Mit Entscheid vom 6. September 2022 lehnte das SEM das Asylgesuch des Gesuchsgegners ab und wies ihn aus der Schweiz weg (MI- act. 24 ff.). Dieser Entscheid erwuchs am 6. Oktober 2022 unangefochten in Rechtskraft (MI-act. 61). Das in der Folge am 8. August 2023 gestellte Mehrfachasylgesuch schrieb das SEM mit Verfügung vom 26. September 2023 formlos ab. Ferner wurde der Gesuchsgegner mit inzwischen rechtskräftigem Urteil des Bezirksgerichts Baden vom 20. September 2023 für eine Dauer von 12 Jahren des Landes verwiesen (MI- act. 126 ff.). Damit liegt nicht nur ein rechtskräftiger Wegweisungsent- scheid, sondern auch eine rechtskräftige Landesverweisung vor.</w:t>
      </w:r>
    </w:p>
    <w:p>
      <w:r>
        <w:rPr>
          <w:b/>
        </w:rPr>
        <w:t>E. 2.3</w:t>
      </w:r>
    </w:p>
    <w:p>
      <w:r>
        <w:t>Gemäss Art. 80 Abs. 6 lit. a AIG ist die Haft zu beenden, wenn sich er- weist, dass der Vollzug der Wegweisung aus rechtlichen oder tatsächli- chen Gründen undurchführbar ist. Es sind keine Anzeichen vorhanden, die an der Ausschaffungsmöglichkeit in tatsächlicher oder rechtlicher Hinsicht Zweifel aufkommen lassen wür- den. Dies umso weniger, als die Identität des Gesuchsgegners am 22. November 2022 durch das algerische Generalkonsulat in Genf aner- kannt worden ist (MI-act. 67). Zum Vorbringen des Vertreters des Gesuchsgegners, es sei fraglich, wann mit einem Counseling gerechnet werden könne, weshalb keine Vollzugsperspektive bestehe (act. 41 f.), ist Folgendes festzuhalten: Wie die Vertreterin des Gesuchstellers anlässlich der heutigen Verhandlung ausführte, seien die Counselings inzwischen wieder aufgenommen wor- den und behandle das SEM Personen mit Landesverweisung prioritär, weshalb davon auszugehen sei, dass in absehbarer Zeit mit einem sol- chen Gespräch gerechnet werden könne (Protokoll S. 5 ff., act. 32 ff.). Dem ist, jedenfalls im Moment und solange keine gegenteiligen Anzei- chen vorliegen, mit Bezug auf bereits identifizierte Personen zuzustim- men.</w:t>
      </w:r>
    </w:p>
    <w:p>
      <w:r>
        <w:t>- 6 - 3.</w:t>
      </w:r>
    </w:p>
    <w:p>
      <w:r>
        <w:rPr>
          <w:b/>
        </w:rPr>
        <w:t>E. 3</w:t>
      </w:r>
    </w:p>
    <w:p>
      <w:r>
        <w:t>Eventualiter wird die Haft in Anwendung von Art. 77 AIG für 60 Tage an- geordnet.</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 fungshaft nicht rechtfertigen, kann dies aufgrund der Gesamtheit der Vor- kommnisse der Fall sein. Erforderlich sind gewichtige Anhaltspunkte da- für, dass die betroffene Person sich der Ausschaffung entziehen und un- 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 sierung von Art. 76 Abs. 1 lit. b Ziff. 3 AIG zu verstehen, womit die beiden Bestimmungen als einheitlicher Haftgrund zu betrachten sind (vgl. ANDRE- AS ZÜND, in: MARC SPESCHA/ANDREAS ZÜND/PETER BOLZLI/CONSTANTIN HRUSCHKA/FANNY DE WECK [Hrsg.], Kommentar Migrationsrecht, 5. Aufl., Zürich 2019, N. 7 zu Art. 76 AIG und TARKAN GÖKSU, in: MARTINA CARO- NI/THOMAS GÄCHTER/DANIELA THURNHERR [Hrsg.], Stämpflis Hand- kommentar zum Bundesgesetz über die Ausländerinnen und Ausländer [AuG], Bern 2010, N. 11 zu Art. 76).</w:t>
      </w:r>
    </w:p>
    <w:p>
      <w:r>
        <w:rPr>
          <w:b/>
        </w:rPr>
        <w:t>E. 3.2</w:t>
      </w:r>
    </w:p>
    <w:p>
      <w:r>
        <w:t>Der Gesuchsgegner, gegen den ein rechtskräftiger Wegweisungsent- scheid und eine rechtskräftige Landesverweisung vorliegt, hätte die Schweiz spätestens nach Eintritt der Rechtskraft am 6. Oktober 2024 ver- lassen müssen (MI-act. 24 ff., 61). Anlässlich des Ausreisegesprächs vom</w:t>
      </w:r>
    </w:p>
    <w:p>
      <w:r>
        <w:rPr>
          <w:b/>
        </w:rPr>
        <w:t>E. 3.3</w:t>
      </w:r>
    </w:p>
    <w:p>
      <w:r>
        <w:t>Nachdem ein Haftgrund vorliegt, kann offenbleiben ob, weitere Haftgrün- de bestehen.</w:t>
      </w:r>
    </w:p>
    <w:p>
      <w:r>
        <w:rPr>
          <w:b/>
        </w:rPr>
        <w:t>E. 4</w:t>
      </w:r>
    </w:p>
    <w:p>
      <w:r>
        <w:t>Da sich der Gesuchsgegner noch nicht in Ausschaffungshaft befindet, er- übrigen sich Ausführungen zu den Haftbedingungen.</w:t>
      </w:r>
    </w:p>
    <w:p>
      <w:r>
        <w:rPr>
          <w:b/>
        </w:rPr>
        <w:t>E. 5</w:t>
      </w:r>
    </w:p>
    <w:p>
      <w:r>
        <w:t>Es liegen auch keine Anzeichen dafür vor, dass das MIKA dem Beschleu- nigungsgebot nach Art. 76 Abs. 4 AIG nicht ausreichend Beachtung ge- schenkt hätte.</w:t>
      </w:r>
    </w:p>
    <w:p>
      <w:r>
        <w:rPr>
          <w:b/>
        </w:rPr>
        <w:t>E. 6</w:t>
      </w:r>
    </w:p>
    <w:p>
      <w:r>
        <w:t>Das MIKA ordnete die Ausschaffungshaft für drei Monate an. Nachdem der Vollzug der Rückführung massgeblich vom Verhalten des Gesuchs- 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 rigen Gewohnheit das Beschleunigungsgebot verletzen, besteht die Mög- lichkeit, ein Haftentlassungsgesuch zu stellen.</w:t>
      </w:r>
    </w:p>
    <w:p>
      <w:r>
        <w:rPr>
          <w:b/>
        </w:rPr>
        <w:t>E. 7</w:t>
      </w:r>
    </w:p>
    <w:p>
      <w:r>
        <w:t>Abschliessend stellt sich die Frage, ob die Haftanordnung deshalb nicht zu bestätigen sei, weil sie im konkreten Fall gegen das Prinzip der Ver- hältnismässigkeit verstossen würde. Eine mildere Massnahme zur Sicher- stellung des Vollzugs der Wegweisung ist mit Blick auf die festgestellte Gefahr des Untertauchens des Gesuchsgegners nicht ersichtlich. Dies gilt umso mehr, als der Gesuchsgegner sich mehrfach weigerte, die Schweiz zu verlassen und mit seinem Verhalten keinerlei Gewähr für eine ord- nungsgemässe Ausreise in sein Heimatland bietet. Insbesondere er- scheint weder die Anordnung einer Meldepflicht noch eine Eingrenzung zielführend. Diesfalls wäre es für den Gesuchsgegner zwar ohne Weiteres möglich, sich den Behörden bis zum Ausreisezeitpunkt zur Verfügung zu</w:t>
      </w:r>
    </w:p>
    <w:p>
      <w:r>
        <w:t>- 8 - halten und trotzdem unterzutauchen, sobald der Rückflug anzutreten wä- re. Hinsichtlich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 nismässig erscheinen liessen. III. 1. Gemäss § 28 Abs. 1 EGAR ist das Verfahren betreffend Haftüberprüfung untentgeltlich. Demgemäss werden keine Kosten erhoben. 2. Dem Gesuchsgegner ist gemäss § 27 Abs. 2 EGAR zwingend ein amtli- 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verlängert werden, ist nicht zwingend eine Verhandlung mit Parteibefragung durchzuführen (Aargauische Gerichts- und Verwaltungs- entscheide [AGVE] 2009, S. 359 Erw. I/4.3 ff.). Im Rahmen des rechtli- chen Gehörs hat das MIKA dem Gesuchsgegner daher die Frage zu un- 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 zen Begründung anlässlich der Verhandlung vom 7. März 2024 mündlich eröffnet. Das Dispositiv wurde den Parteien ausgehändigt.</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