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WPR.2024.18 vom 22. Februar 2024</w:t>
      </w:r>
    </w:p>
    <w:p>
      <w:r>
        <w:t>AG Verwaltungsgericht, 2024-02-22, DE</w:t>
      </w:r>
    </w:p>
    <w:p>
      <w:r>
        <w:rPr>
          <w:b/>
        </w:rPr>
        <w:t xml:space="preserve">Quelle: </w:t>
      </w:r>
      <w:r>
        <w:t>https://mcp.opencaselaw.ch/entscheid/ag_verwaltungsgericht_WPR.2024.18</w:t>
      </w:r>
    </w:p>
    <w:p>
      <w:r>
        <w:t>FR: AG_VERWALTUNGSGERICHT WPR.2024.18 du 22 février 2024</w:t>
      </w:r>
    </w:p>
    <w:p>
      <w:r>
        <w:t>IT: AG_VERWALTUNGSGERICHT WPR.2024.18 del 22 febbraio 2024</w:t>
      </w:r>
    </w:p>
    <w:p>
      <w:pPr>
        <w:pStyle w:val="Heading2"/>
      </w:pPr>
      <w:r>
        <w:t>Erwägungen</w:t>
      </w:r>
    </w:p>
    <w:p>
      <w:r>
        <w:rPr>
          <w:b/>
        </w:rPr>
        <w:t>E. 2</w:t>
      </w:r>
    </w:p>
    <w:p>
      <w:r>
        <w:t>Die Haft begann am 20. Februar 2024, 10.00 Uhr. Sie wird in Anwendung von Art. 76 AIG für drei Monate bis zum 19. Mai 2024,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w:t>
      </w:r>
    </w:p>
    <w:p>
      <w:r>
        <w:t>- 5 - Das MIKA hat den Gesuchsgegner mit Verfügung vom 20. Februar 2024 aus der Schweiz und dem Schengen-Raum weggewiesen. Diese Verfügung wurde dem Gesuchsgegner gleichentags eröffnet (MI- act. 31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 D. Der Gesuchsteller beantragte die Bestätigung der Haftanordnung (Protokoll S. 4, act. 34). Der Gesuchsgegner liess folgende Anträge stellen (Protokoll S. 4, act. 34): 1. Die mit Verfügung des Amts für Migration und Integration vom 20. Februar 2024 bis zum 19. Mai 2024, 12.00 Uhr, angeordnete Haft sei nicht zu bestätigen. Der Gesuchsgegner sei mit sofortiger Wirkung aus der Haft zu entlassen, allenfalls unter Verfügung von Ersatzmassnahmen. 2. Der Sprechende sei als amtlicher Rechtsvertreter zu bestätigen und nach Abschluss des Verfahrens WPR.2024.18 angemessen aus der Staatskasse zu honorieren.</w:t>
      </w:r>
    </w:p>
    <w:p>
      <w:r>
        <w:t>- 4 -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20. Februar 2024, 10.00 Uhr, aus der polizeilich motivierten Haft entlassen und dem MIKA zugeführt. Die mündliche Verhandlung begann am 22. Februar 2024, 09.00 Uhr; das Urteil wurde um 09.29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w:t>
      </w:r>
    </w:p>
    <w:p>
      <w:r>
        <w:t>- 6 - [Hrsg.], Stämpflis Handkommentar zum Bundesgesetz über die Ausländerinnen und Ausländer [AuG], Bern 2010, N. 11 zu Art. 76). Der Gesuchsgegner wies sich anlässlich der polizeilichen Kontrolle vom 18. Februar 2024 mit einem falschen kroatischen Reisepass aus (MI- act. 1 ff., 10; act. 44 ff.) und führte weitere gefälschte Ausweisdokumente mit sich (act. 40 ff.). Wer eine falsche Identität oder einen gefälschten Ausweis verwendet, bietet gemäss ständiger Praxis des Verwaltungsgerichts sowie auch des Bundesgerichts keine Gewähr für eine selbständige Ausreise (vgl. Entscheid des Verwaltungsgerichts WPR.2016.49 vom 21. März 2016, Erw. 3.2; BGE 122 II 49, Erw. 2a). Vielmehr ist in Fällen wie dem Vorliegenden von einer klaren Untertauchensgefahr auszugehen, womit der Haftgrund von Art. 76 Abs. 1 lit. b Ziff. 3 und 4 AIG erfüllt ist.</w:t>
      </w:r>
    </w:p>
    <w:p>
      <w:r>
        <w:rPr>
          <w:b/>
        </w:rPr>
        <w:t>E. 3.2</w:t>
      </w:r>
    </w:p>
    <w:p>
      <w:r>
        <w:t>Das MIKA stützt seine Haftanordnung weiter auf Art. 76 Abs. 1 lit. b Ziff. 1 i.V.m. Art. 75 Abs. 1 lit. c AIG, wonach eine Person in Haft genommen werden kann, wenn sie trotz Einreiseverbot das Gebiet der Schweiz betritt und nicht sofort weggewiesen werden kann. Der Gesuchsgegner reiste trotz Einreiseverbot in die Schweiz ein und verstiess damit gegen die Verfügung des Amts für Migration des Kantons Schwyz (MI-act. 118). Eine sofortige Ausschaffung des Gesuchsgegners ist aufgrund fehlender gültiger Reisedokumente (noch) nicht möglich. Damit ist auch der Haftgrund von Art. 76 Abs. 1 lit. b Ziff. 1 AIG i.V.m Art. 75 Abs. 1 lit. c AIG erfüllt.</w:t>
      </w:r>
    </w:p>
    <w:p>
      <w:r>
        <w:rPr>
          <w:b/>
        </w:rPr>
        <w:t>E. 4</w:t>
      </w:r>
    </w:p>
    <w:p>
      <w:r>
        <w:t>Bezüglich der Haftbedingungen macht der Rechtsvertreter des Geusuchsgegners geltend, dem Gesuchsgegner sei das Telefonat mit seinem Bruder verwehrt worden, sodass er seinen sich in Kroatien befindenden Reisepass noch nicht habe organisieren können. Es dürfe nicht seinem Mandanten angelastet werden, wenn ihm ein notwendiges Telefonat verwehrt worden sei und dadurch kein Reisepass vorliege (Protokoll S. 5, act. 35.). Dem ist zuzustimmen und das MIKA wird inskünftig dafür besorgt sein müssen, dass Inhaftierte möglichst unverzüglich nach ihrer Inhaftierung telefonieren können, um ihre Reisedokumente erhältlich zu machen. Eine Haftentlassung wegen des verweigerten Telefongesprächs ist jedoch nicht angezeigt. Darüber hinaus liegen keine Beanstandungen vor, die geeignet wären, die Haft als unverhältnismässig erscheinen zu lassen.</w:t>
      </w:r>
    </w:p>
    <w:p>
      <w:r>
        <w:t>- 7 -</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 entgegen der Auffassung des Rechtsvertreters – nicht ersichtlich. Wie gesehen bietet der Gesuchsgegner mit seinem Verhalten keinerlei Gewähr für eine ordnungsgemässe Ausreise in sein Heimatland. Die von seinem Rechtsvertreter vorgeschlagene Meldepflicht (act. 38 f.) könnte nicht sicherstellen, dass er tatsächlich ausreisen wird. Vielmehr wäre es ihm ohne weiteres möglich, sich bis zum Rückführungszeitpunkt bei den Behörden zu melden und trotzdem unterzutauchen, sobald der Rückflug anzutreten wäre.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w:t>
      </w:r>
    </w:p>
    <w:p>
      <w:r>
        <w:t>- 8 -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