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WPR.2024.124 vom 27. Dezember 2024</w:t>
      </w:r>
    </w:p>
    <w:p>
      <w:r>
        <w:t>AG Verwaltungsgericht, 2024-12-27, DE</w:t>
      </w:r>
    </w:p>
    <w:p>
      <w:r>
        <w:rPr>
          <w:b/>
        </w:rPr>
        <w:t xml:space="preserve">Quelle: </w:t>
      </w:r>
      <w:r>
        <w:t>https://mcp.opencaselaw.ch/entscheid/ag_verwaltungsgericht_WPR.2024.124</w:t>
      </w:r>
    </w:p>
    <w:p>
      <w:r>
        <w:t>FR: AG_VERWALTUNGSGERICHT WPR.2024.124 du 27 décembre 2024</w:t>
      </w:r>
    </w:p>
    <w:p>
      <w:r>
        <w:t>IT: AG_VERWALTUNGSGERICHT WPR.2024.124 del 27 dicembre 2024</w:t>
      </w:r>
    </w:p>
    <w:p>
      <w:pPr>
        <w:pStyle w:val="Heading2"/>
      </w:pPr>
      <w:r>
        <w:t>Erwägungen</w:t>
      </w:r>
    </w:p>
    <w:p>
      <w:r>
        <w:rPr>
          <w:b/>
        </w:rPr>
        <w:t>E. 2</w:t>
      </w:r>
    </w:p>
    <w:p>
      <w:r>
        <w:t>Die Haft beginnt am 30. Dezember 2024, 08:00 Uhr. Sie wird in Anwen- dung von Art. 76 AIG für drei Monate bis zum 29. März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Urteil des Bezirksgerichts Aarau vom 14. März 2024 wurde der Ge- suchsgegner für sieben Jahre des Landes verwiesen. Das Urteil ist am 14. März 2024 unangefochten in Rechtskraft erwachsen (MI-act. 381 ff.).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w:t>
      </w:r>
    </w:p>
    <w:p>
      <w:r>
        <w:rPr>
          <w:b/>
        </w:rPr>
        <w:t>E. 3</w:t>
      </w:r>
    </w:p>
    <w:p>
      <w:r>
        <w:t>Eventuell sei die Haftentlassung mit Auflagen zu verbinden.</w:t>
      </w:r>
    </w:p>
    <w:p>
      <w:r>
        <w:rPr>
          <w:b/>
        </w:rPr>
        <w:t>E. 3.1</w:t>
      </w:r>
    </w:p>
    <w:p>
      <w:r>
        <w:t>Das MIKA stützt seine Haftanordnung auf Art. 76 Abs. 1 lit. b Ziff. 1 in Ver- bindung mit Art. 75 Abs. 1 lit. c AIG, wonach ein Haftgrund dann vorliegt,</w:t>
      </w:r>
    </w:p>
    <w:p>
      <w:r>
        <w:t>- 6 - wenn eine ausländische Person trotz eines Einreiseverbots das Gebiet der Schweiz betritt und nicht sofort weggewiesen werden kann. Auch wenn in Art. 75 Abs. 1 lit. c AIG von einem Einreiseverbot die Rede ist, kann dieser Gesetzesartikel auch auf die Landesverweisung angewendet werden (vgl. Marc Busslinger/Peter Uebersax, Härtefallklausel und migrationsrechtliche Auswirkungen der Landesverweisung, in: Plädoyer 5/16, S. 108, wonach in Analogie zur bundesgerichtlichen Rechtsprechung zur altrechtlichen Lan- desverweisung davon auszugehen ist, dass auch die Missachtung der Fernhaltewirkung einer neurechtlichen Landesverweisung den Haftgrund von Art. 75 Abs. 1 lit. c AIG erfüllt). Mit Urteil des Bezirksgerichts Aarau vom 14. März 2024 wurde der Ge- suchsgegner für sieben Jahre des Landes verwiesen (MI-act. 381 ff.). Zu- dem wurde der Gesuchsgegner mit Verfügung des SEM vom 10. März 2022 mit einem Einreiseverbot, gültig bis zum 19. März 2026, belegt (MI- act. 141). Mit seiner Einreise und seinem Aufenthalt in der Schweiz hat der Gesuchsgegner gegen die rechtskräftige Landesverweisung und das gül- tige Einreiseverbot verstossen. Damit ist der Haftgrund von Art. 76 Abs. 1 lit. b Ziff. 1 in Verbindung mit Art. 75 Abs. 1 lit. c AIG gegeben.</w:t>
      </w:r>
    </w:p>
    <w:p>
      <w:r>
        <w:rPr>
          <w:b/>
        </w:rPr>
        <w:t>E. 3.2</w:t>
      </w:r>
    </w:p>
    <w:p>
      <w:r>
        <w:t>Weiter stützt das MIKA seine Haftanordnung auf Art. 76 Abs. 1 lit. b Ziff. 1 in Verbindung mit Art. 75 Abs. 1 lit. h AIG, wonach ein Haftgrund gegeben ist, wenn eine ausländische Person wegen eines Verbrechens verurteilt worden ist. Gemäss Art. 10 Abs. 2 StGB sind Verbrechen Taten, die mit Freiheitsstrafe von mehr als drei Jahren bedroht sind. Der Gesuchsgegner wurde mit Urteil des Bezirksgerichts Aarau vom 14. März 2024 nach Art. 139 Ziff. 2 aStGB verurteilt, gemäss welchem der gewerbsmässige Diebstahl mit einer Freiheitsstrafe von bis zu zehn Jahren bestraft wird. Somit ist auch der Haftgrund von Art. 76 Abs. 1 lit. b Ziff. 1 in Verbindung mit Art. 75 Abs. 1 lit. h AIG gegeben.</w:t>
      </w:r>
    </w:p>
    <w:p>
      <w:r>
        <w:rPr>
          <w:b/>
        </w:rPr>
        <w:t>E. 3.3</w:t>
      </w:r>
    </w:p>
    <w:p>
      <w:r>
        <w:t>Ob auch der Haftgrund von Art. 76 Abs. 1 lit. b Ziff. 3 AIG erfüllt ist kann offengelassen werden, da bereits zwei Haftgründe erfüllt sind, womit sich eine detaillierte Prüfung dieses Haftgrunds erübrigt.</w:t>
      </w:r>
    </w:p>
    <w:p>
      <w:r>
        <w:rPr>
          <w:b/>
        </w:rPr>
        <w:t>E. 4</w:t>
      </w:r>
    </w:p>
    <w:p>
      <w:r>
        <w:t>Bezüglich der Haftbedingungen liegen keine Beanstandungen vor (Proto- koll S. 3, act. 33).</w:t>
      </w:r>
    </w:p>
    <w:p>
      <w:r>
        <w:rPr>
          <w:b/>
        </w:rPr>
        <w:t>E. 5</w:t>
      </w:r>
    </w:p>
    <w:p>
      <w:r>
        <w:t>Es liegen auch keine Anzeichen dafür vor, dass das MIKA dem Beschleu- nigungsgebot (Art. 76 Abs. 4 AIG) nicht ausreichend Beachtung geschenkt hätte.</w:t>
      </w:r>
    </w:p>
    <w:p>
      <w:r>
        <w:t>- 7 -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w:t>
      </w:r>
    </w:p>
    <w:p>
      <w:r>
        <w:rPr>
          <w:b/>
        </w:rPr>
        <w:t>E. 8</w:t>
      </w:r>
    </w:p>
    <w:p>
      <w:r>
        <w:t>Der Vertreter des Gesuchsgegners beantragt darüber hinaus, dem Ge- suchsgegner sei sein eingezogener Führerausweis auszuhändigen (Proto- koll S. 4, act. 34). Inhalt des vorliegenden Verfahrens bildet allein die Über- prüfung der angeordneten Administrativhaft. Es ist unklar und wurde indes- sen auch nicht begründet, inwiefern dieser Antrag in Zusammenhang zum relevanten Verfahrensgegenstand stehen soll. Auf den unbegründeten An- trag ist demnach nicht weiter einzugehen.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- 8 -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