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WPR.2024.123 vom 23. Dezember 2024</w:t>
      </w:r>
    </w:p>
    <w:p>
      <w:r>
        <w:t>AG Verwaltungsgericht, 2024-12-23, DE</w:t>
      </w:r>
    </w:p>
    <w:p>
      <w:r>
        <w:rPr>
          <w:b/>
        </w:rPr>
        <w:t xml:space="preserve">Quelle: </w:t>
      </w:r>
      <w:r>
        <w:t>https://mcp.opencaselaw.ch/entscheid/ag_verwaltungsgericht_WPR.2024.123</w:t>
      </w:r>
    </w:p>
    <w:p>
      <w:r>
        <w:t>FR: AG_VERWALTUNGSGERICHT WPR.2024.123 du 23 décembre 2024</w:t>
      </w:r>
    </w:p>
    <w:p>
      <w:r>
        <w:t>IT: AG_VERWALTUNGSGERICHT WPR.2024.123 del 23 dicembre 2024</w:t>
      </w:r>
    </w:p>
    <w:p>
      <w:pPr>
        <w:pStyle w:val="Heading2"/>
      </w:pPr>
      <w:r>
        <w:t>Erwägungen</w:t>
      </w:r>
    </w:p>
    <w:p>
      <w:r>
        <w:rPr>
          <w:b/>
        </w:rPr>
        <w:t>E. 2</w:t>
      </w:r>
    </w:p>
    <w:p>
      <w:r>
        <w:t>Kammer WPR.2024.123 / th / ou ZEMIS [***], N [***] Urteil vom 23. Dezember 2024 Besetzung Verwaltungsrichter Clavadetscher, Vorsitz Gerichtsschreiber i.V. Hufschmid Rechtspraktikantin Unger Gesuchsteller Amt für Migration und Integration Kanton Aargau, Sektion Asyl und Rückkehr, Bahnhofstrasse 88, 5001 Aarau vertreten durch lic. iur. Silvio Siegrist, Bahnhofstrasse 88, 5001 Aarau Gesuchsgegner A._____, von der Türkei z.Zt. im Zentrum für ausländerrechtliche Administrativhaft, 8058 Zürich amtlich vertreten durch lic. iur. Thomas Plüss, Rechtsanwalt, Zwischen den Toren 4, 5000 Aarau Gegenstand Ausschaffungshaft gestützt auf Art. 76 AIG / Haftüberprüfung</w:t>
      </w:r>
    </w:p>
    <w:p>
      <w:r>
        <w:t>- 2 - Der Einzelrichter entnimmt den Akten: A. Der Gesuchsgegner reiste am 17. Februar 2023 illegal in die Schweiz ein und stellte ein Asylgesuch (Akten des Amtes für Migration und Integration [MI-act.] 6 ff.). Am 5. März 2024 lehnte das Staatssekretariat für Migration (SEM) das Asylgesuch des Gesuchsgegners ab und wies diesen aus der Schweiz und dem Schengen-Raum weg (MI-act. 28 ff.). Mit Verfügung vom 10. Mai 2024 wies das SEM den Gesuchsgegner dem Kanton Aargau zu (MI-act. 23). Die gegen den Asyl- und Wegweisungsentscheid vom 5. März 2024 erhobene Beschwerde wies das Bundesverwaltungsgericht mit Urteil vom 15. Mai 2024 ab (MI-act. 47 ff.). Das SEM setzte dem Gesuchsgegner am 23. Mai 2024 eine Ausreisefrist bis zum 21. Juni 2024 an, um die Schweiz zu verlassen (MI-act. 58). Im Rahmen eines Termins bei der Rückkehrberatungsstelle am 30. Mai 2024 gab der Gesuchsgegner an, dass eine Rückkehr in die Türkei keine Option darstelle (MI-act. 63). Selbige Aussage wiederholte der Gesuchsgegner im Rahmen des Ausreisegespräches mit dem Amt für Migration und Integration des Kantons Aargau (MIKA) am 12. Juni 2024 (MI-act. 69 ff.). Das SEM bestätigte gleichentags, dass sich ein gültiger Identitätsausweis des Gesuchsgegners beim SEM befindet (MI-act. 68). Der Gesuchsgegner tauchte am 19. Juni 2024 unter und reiste eigenen Angaben zufolge nach Frankreich aus (MI-act. 88). Das MIKA liess ihn am</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Entscheid vom 5. März 2024 lehnte das SEM das Asylgesuch des Gesuchsgegners ab und wies ihn aus der Schweiz und dem Schengen- Raum weg (MI-act. 28 ff.). Da dieser Wegweisungsentscheid mit der Ausreise des Gesuchsgegners nach Frankreich konsumiert wurde, eröffnete das MIKA dem Gesuchsgegner am 20. Dezember 2024 eine neue Wegweisung (MI-act. 93 ff.). Damit liegt ein rechtsgenüglicher Wegweisungsentscheid vor.</w:t>
      </w:r>
    </w:p>
    <w:p>
      <w:r>
        <w:t>- 5 -</w:t>
      </w:r>
    </w:p>
    <w:p>
      <w:r>
        <w:rPr>
          <w:b/>
        </w:rPr>
        <w:t>E. 2.3</w:t>
      </w:r>
    </w:p>
    <w:p>
      <w:r>
        <w:t>Gemäss Art. 80 Abs. 6 lit. a AIG ist die Haft zu beenden, wenn sich erweist, dass der Vollzug der Wegweisung aus rechtlichen oder tatsächlichen Gründen undurchführbar ist. Der Gesuchsgegner bringt anlässlich der heutigen Verhandlung vor, es bestehe im Falle seiner Rückkehr in die Türkei eine Gefahr an Leib und Leben (Protokoll S 5, act. 31). Sowohl das SEM mit Entscheid vom 5. März 2024 als auch das Bundesverwaltungsgericht mit Urteil vom 15. Mai 2024 qualifizierten die vom Gesuchsgegner vorgebrachten Asylgründe als nicht asylrelevant oder unglaubhaft (MI-act. 28 ff., 47 ff.). Die vom Gesuchs- gegner an der heutigen mündlichen Verhandlung vor dem Verwaltungs- gericht geltend gemachten Vorbringen sind dieselben wie im Asylantrag und wurden vom SEM und vom Bundesverwaltungsgericht bereits abschliessend beurteilt. Der Gesuchsgegner vermochte auch keinerlei neue Nachweise zu erbringen, die zu einer anderen Einschätzung führen würden (vgl. Protokoll, S. 5 ff., act. 31). Zudem haben sich die Verhältnisse seit der Eröffnung des Urteils des Bundesverwaltungsgerichts am 15. Mai 2024 auch nicht grundlegend geändert. Eine offensichtliche Unzulässigkeit des Wegweisungsentscheides ist demnach vorliegend zu verneinen (vgl. BGE 125 II 217, Erw. 2). Weitere Anzeichen, die an der Ausschaffungsmöglichkeit in rechtlicher oder tatsächlicher Hinsicht Zweifel aufkommen lassen würden, sind ebenfalls keine ersichtlich. 3. 3.1. 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w:t>
      </w:r>
    </w:p>
    <w:p>
      <w:r>
        <w:t>- 6 -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JANINE SERT, in: MARTINA CARONI/DANIELA THURNHERR [Hrsg.], Stämpflis Handkommentar zum Ausländer- und Integrationsgesetz [AIG], 2. Aufl., Bern 2024, N. 17 zu Art. 76). 3.2. Bereits im Rahmen eines Gesprächs mit der Rückkehrberatungsstelle vom 30. Mai 2024 äusserte sich der Gesuchsgegner dahingehend, dass er nicht bereit sei, die Schweiz in Richtung Türkei zu verlassen (MI-act. 63). Anlässlich des Ausreisegesprächs vom 12. Juni 2024 wiederholte der Gesuchsgegner erneut, dass er die Schweiz nicht verlassen wolle (MI- act. 69 ff.). Der Gesuchsgegner reiste zwar eigenen Angaben zufolge am 19. Juni 2024 aus der Schweiz aus und hielt sich in der Folge in Frankreich auf (MI-act. 88). Mit rechtskräftigem Entscheid vom 5. März 2024 hatte ihn das SEM jedoch aus dem gesamten Schengen-Raum weggewiesen (MI- act. 34). Der Gesuchsgegner konnte damit nur auf illegalem Weg nach Frankreich eingereist sein und hat mit seinem Verbleib im Schengen-Raum nach Ablauf der zuletzt angesetzten Ausreisefrist bis zum 21. Juni 2024 (vgl. MI-act. 58), gegen den Wegweisungsentscheid des SEM verstossen. In dieser konstanten Weigerung, in sein Heimatland zurückzukehren, ist ein klares Anzeichen dafür zu erkennen, dass sich der Gesuchsgegner der Ausschaffung entziehen will. Während der heutigen Verhandlung gab der Gesuchsgegner erneut und unmissverständlich zu Protokoll, die Schweiz nicht verlassen zu wollen (Protokoll S. 7, act. 33). Weiter hat der Gesuchsgegner es unterlassen, bei der Papierbeschaffung mitzuwirken und verfügt im Zeitpunkt der heutigen Verhandlung über keinen Reisepass, sondern nur über einen türkischen Identitätsausweis, der sich beim SEM befindet (MI-act. 1 ff., Protokoll S. 6, act. 32). Anlässlich einer Personenkontrolle am 19. Dezember 2024 hat sich der Gesuchsgegner mit einer gefälschten rumänischen Identitätskarte lautend auf B._____, geb. tt.mm.jjjj ausgewiesen (MI-act. 79 ff.). Das Benutzen eines gefälschten Ausweises spricht für eine Untertauchensgefahr. Die Untertauchensgefahr wird zudem dadurch bestärkt, dass der Gesuchsgegner bereits einmal über einen Zeitraum von sechs Monaten</w:t>
      </w:r>
    </w:p>
    <w:p>
      <w:r>
        <w:t>- 7 - unbekannten Aufenthalts war. Ab dem 19. Juni 2024 hielt er sich nicht mehr in der ihm zugewiesenen Unterkunft auf und verletzte dadurch seine Pflicht, sich den Behörden jederzeit zur Verfügung zu halten (MI-act. 77 f.). Bei einem bereits zuvor erfolgten Untertauchen ist nach bundesgerichtlicher Rechtsprechung regelmässig von einer weiter bestehenden Unter- tauchensgefahr auszugehen (BGE 140 II 1, Erw. 5.3). Nach dem Gesagten steht im vorliegenden Fall fest, dass der Gesuchs- gegner insbesondere aufgrund der Benutzung eines gefälschten Identifikationsausweises, seiner Weigerung, die Schweiz zu verlassen, der Verletzung seiner gesetzlichen Mitwirkungspflichten sowie dem bereits einmalig erfolgten Untertauchen klare Anzeichen für eine Unter- tauchensgefahr gesetzt hat. Es ist unter diesen Umständen nicht davon auszugehen, dass er nach einer Entlassung aus der Ausschaffungshaft die Schweiz auf direktem Weg freiwillig in Richtung Türkei verlassen würde. Damit ist der Haftgrund von Art. 76 Abs. 1 lit. b Ziff. 3 AIG erfüllt.</w:t>
      </w:r>
    </w:p>
    <w:p>
      <w:r>
        <w:rPr>
          <w:b/>
        </w:rPr>
        <w:t>E. 4</w:t>
      </w:r>
    </w:p>
    <w:p>
      <w:r>
        <w:t>Bezüglich der Haftbedingungen liegen keine relevanten Beanstandungen vor, die geeignet wären, die Haft als unverhältnismässig zu bezeichnen (Protokoll S. 3 f., act. 29).</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Der Gesuchsgegner gibt im Rahmen der heutigen Verhandlung zu Protokoll, er sei bereit, die Schweiz in Richtung eines Drittstaates zu verlassen (Protokoll, S. 7, act. 33). Indes hat sich der Gesuchsgegner trotz angeblich grossem Beziehungsnetzwerk nicht um die Beschaffung eines Reisepasses bemüht und verfügt im Zeitpunkt der heutigen Verhandlung nur über einen türkischen</w:t>
      </w:r>
    </w:p>
    <w:p>
      <w:r>
        <w:t>- 8 - Identitätsausweis, der sich beim SEM befindet (MI-act. 1, Protokoll S. 6, act. 32). Des Weiteren verfügt er auch nicht über ein allfälliges Visum eines Drittstaates, weshalb eine legale Ausreise in einen Drittstaat im jetzigen Zeitpunkt nicht möglich ist. Die angeordnete Haft erweist sich damit auch unter diesem Gesichtspunkt als verhältnismässig. Eine mildere Massnahme zur Sicherstellung des Vollzugs der Wegweisung ist ebenfalls nicht ersichtlich.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w:t>
      </w:r>
    </w:p>
    <w:p>
      <w:r>
        <w:t>- 9 - 3.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