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WPR.2024.122 vom 20. Dezember 2024</w:t>
      </w:r>
    </w:p>
    <w:p>
      <w:r>
        <w:t>AG Verwaltungsgericht, 2024-12-20, DE</w:t>
      </w:r>
    </w:p>
    <w:p>
      <w:r>
        <w:rPr>
          <w:b/>
        </w:rPr>
        <w:t xml:space="preserve">Quelle: </w:t>
      </w:r>
      <w:r>
        <w:t>https://mcp.opencaselaw.ch/entscheid/ag_verwaltungsgericht_WPR.2024.122</w:t>
      </w:r>
    </w:p>
    <w:p>
      <w:r>
        <w:t>FR: AG_VERWALTUNGSGERICHT WPR.2024.122 du 20 décembre 2024</w:t>
      </w:r>
    </w:p>
    <w:p>
      <w:r>
        <w:t>IT: AG_VERWALTUNGSGERICHT WPR.2024.122 del 20 dicembre 2024</w:t>
      </w:r>
    </w:p>
    <w:p>
      <w:pPr>
        <w:pStyle w:val="Heading2"/>
      </w:pPr>
      <w:r>
        <w:t>Erwägungen</w:t>
      </w:r>
    </w:p>
    <w:p>
      <w:r>
        <w:rPr>
          <w:b/>
        </w:rPr>
        <w:t>E. 2</w:t>
      </w:r>
    </w:p>
    <w:p>
      <w:r>
        <w:t>Die Haft begann am 19. Dezember 2024, um 12:00 Uhr. Sie wird in Anwendung von Art. 76 AIG für 30 Tage bis zum 17. Januar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Zu prüfen ist weiter, ob ein rechtskräftiger Weg- oder Ausweisungsent- scheid oder eine rechtskräftige Landesverweisung vorliegt. Mit Urteil vom 26. November 2024 des Bezirksgerichts Kulm wurde der Gesuchsgegner unter anderem wegen mehrfachen Verbrechen gegen das Betäubungsmittelgesetz verurteilt und für sechs Jahre des Landes verwiesen. Das Urteil ist gleichentags in Rechtskraft erwachsen (MI- act. 86 ff.). Damit liegt ein rechtskräftiger Landesverweis vor.</w:t>
      </w:r>
    </w:p>
    <w:p>
      <w:r>
        <w:rPr>
          <w:b/>
        </w:rPr>
        <w:t>E. 2.3</w:t>
      </w:r>
    </w:p>
    <w:p>
      <w:r>
        <w:t>Es sind keine Anzeichen vorhanden, die an der Ausschaffungsmöglichkeit in tatsächlicher oder rechtlicher Hinsicht Zweifel aufkommen lassen würden. Dies umso weniger, als für den Gesuchsgegner bereits ein Flug in sein Heimatland gebucht werden konnte (MI-act. 81) und ein Reisedokument vorliegt (MI-act. 1).</w:t>
      </w:r>
    </w:p>
    <w:p>
      <w:r>
        <w:rPr>
          <w:b/>
        </w:rPr>
        <w:t>E. 3</w:t>
      </w:r>
    </w:p>
    <w:p>
      <w:r>
        <w:t>Das MIKA ordnete am 20. Dezember 2024 eine Ausschaffungshaft für 30 Tage an. Den Akten ist zu entnehmen, dass für den Gesuchsgegner auf den 23. Dezember 2024 ein Rückflug nach Tirana gebucht wurde (MI- act. 81). Unter diesen Umständen ist davon auszugehen, dass die Ausschaffung des Gesuchsgegners voraussichtlich innerhalb von acht Tagen nach der Haftanordnung erfolgen wird. Nachdem der Gesuchsgegner sein schriftliches Einverständnis erklärt hat, kann auf die</w:t>
      </w:r>
    </w:p>
    <w:p>
      <w:r>
        <w:t>- 4 - Durchführung einer mündlichen Verhandlung verzichtet werden (Art. 80 Abs. 3 AIG). II. 1. Wurde ein erstinstanzlicher Weg- oder Ausweisungsentscheid eröffnet,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1 AIG i.V.m. Art. 75 Abs. 1 lit. g AIG, wonach eine Person in Haft genommen werden kann, wenn sie andere Personen ernsthaft bedroht oder an Leib und Leben erheblich gefährdet und deshalb strafrechtlich verfolgt wird oder verurteilt worden ist. Vom Haftgrund erfasst werden namentlich die strafbaren Handlungen gegen Leib und Leben, gegen die Freiheit und – teilweise – gegen die sexuelle Integrität (vgl. ANDREAS ZÜND, in: MARC</w:t>
      </w:r>
    </w:p>
    <w:p>
      <w:r>
        <w:t>- 5 - SPESCHA/ANDREAS ZÜND/PETER BOLZLI/CONSTANTIN HRUSCHKA/FANNY DE WECK [Hrsg.], Kommentar Migrationsrecht, 5. Aufl., Zürich 2019, N. 11 zu Art. 75 AIG). Im Einzelfall muss die verlangte Ernsthaftigkeit der Drohung bzw. die erhebliche Gefährdung an Leib und Leben gegeben sein; Delikte mit Bagatellcharakter reichen nicht aus (Urteil des Bundesgerichts 2C_293/2012 vom 18. April 2021, Erw. 4.3). Das Migrationsamt begründet das Vorliegen des Haftgrundes damit, dass der Gesuchsgegner mit Urteil des Bezirksgerichts Kulm vom 27. November 2024 unter anderem wegen mehrfachen Verbrechen gegen das Betäubungsmittelgesetz im Sinne von Art. 19 Abs. 1 lit. c i.V.m. Art. 19 Abs. 2 lit. a BetmG sowie Art. 19 Abs. 1 lit. b und g i.V.m. Art. 19 Abs. 2 lit. a BetmG verurteilt worden ist und damit vom Gesuchsgegner eine erhebliche Gefährdung an Leib und Leben anderer Personen ausgeht. Nach geltender Rechtsprechung bewirkt – jedenfalls bei Heroin und Kokain – eine erhebliche Gefährdung auch der Kleindealer, welcher nur mit kleinen Mengen, dafür aber vermutlich (strafrechtlich nicht zwingend nachweisbar) häufig bzw. wiederholt handelt (sog. «Ameisendealer» oder «Chügelischlucker» [BGE 125 II 369, Erw. 3a]). Da der Gesuchsgegner mit Urteil des Bezirksgerichts Kulm vom 27. November 2024 für den Verkauf von mindestens 50.0 Gramm Kokain verurteilt worden ist, ist von einem wiederholten Handel des Gesuchsgegners mit Kokain auszugehen. Der Gesuchsgegner qualifiziert demnach als Kleindealer gemäss geltender Rechtsprechung des Bundesgerichts. Damit ist der Haftgrund von Art. 76 Abs. 1 lit. b Ziff. 1 AIG i.V.m. Art. 75 Abs. 1 lit. g AIG erfüllt.</w:t>
      </w:r>
    </w:p>
    <w:p>
      <w:r>
        <w:rPr>
          <w:b/>
        </w:rPr>
        <w:t>E. 3.2</w:t>
      </w:r>
    </w:p>
    <w:p>
      <w:r>
        <w:t>Weiter stützt das MIKA seine Haftanordnung auf Art. 76 Abs. 1 lit. b Ziff. 1 i.V.m. Art. 75 Abs. 1 lit. h AIG, wonach eine Person in Haft genommen werden kann, wenn sie wegen eines Verbrechens verurteilt worden ist. Verbrechen sind gemäss Art. 10 Abs. 2 StGB Taten, die mit einer Freiheitsstrafe von mehr als drei Jahren bedroht sind. Gemäss konstanter bundesgerichtlicher Rechtsprechung ist keine Pro- gnose darüber erforderlich, ob sich der Ausländer dem Vollzug der Wegweisung tatsächlich entziehen wird. Vielmehr besteht aufgrund der schweren Straffälligkeit eine gesetzliche Vermutung, dass sich eine wegen eines Verbrechens verurteilte Person behördlichen Anordnungen wider- setzen und versuchen wird, sich der Ausschaffung zu entziehen (Urteile des Bundesgerichts 2C_455/2009 vom 5. August 2009, Erw. 2.1 und 2C_312/2018 vom 11. Mai 2018, Erw. 3.2). Das Bezirksgericht Kulm hat den Gesuchsgegner mit Urteil vom 27. November 2024 unter anderem wegen mehrfachen Verbrechen gegen</w:t>
      </w:r>
    </w:p>
    <w:p>
      <w:r>
        <w:t>- 6 - das Betäubungsmittelgesetz im Sinne von Art. 19 Abs. 1 lit. c i.V.m. Art. 19 Abs. 2 lit. a BetmG sowie Art. 19 Abs. 1 lit. b und g i.V.m. Art. 19 Abs. 2 lit. a BetmG verurteilt und für sechs Jahre des Landes verwiesen (MI- act. 86 ff.). Verbrechen gegen das Betäubungsmittelgesetz im Sinne von Art. 19 Abs. 1 lit. b, c und g i.V.m. Art. 19 Abs. 2 lit. a BetmG (qualifizierte Widerhandlungen) werden gemäss Art. 19 Abs. 2 BetmG mit einer Freiheitstrafe von mindestens einem Jahr und gemäss Art. 40 Abs. 2 StGB mit bis zu 20 Jahren bestraft, womit der Gesuchsgegner wegen eines Verbrechens gemäss Art. 10 Abs. 2 StGB verurteilt wurde. Nach dem Gesagten ist der Haftgrund von Art. 76 Abs. 1 lit. b Ziff. 1 i.V.m. Art. 75 Abs. 1 lit. h AIG erfüllt.</w:t>
      </w:r>
    </w:p>
    <w:p>
      <w:r>
        <w:rPr>
          <w:b/>
        </w:rPr>
        <w:t>E. 4</w:t>
      </w:r>
    </w:p>
    <w:p>
      <w:r>
        <w:t>Bezüglich der Haftbedingungen liegen keine Beanstandungen vor, die geeignet wären, die Haft als unverhältnismässig zu bezeichnen (MI- act. 112).</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30 Tage an. Dies ist grundsätzlich nicht zu beanstanden. Im vorliegenden Fall wurde aber aufgrund des Einverständnisses des Gesuchsgegners auf die Durchführung einer mündlichen Verhandlung verzichtet. Gemäss Art. 80 Abs. 3 AIG ist die mündliche Verhandlung spätestens 12 Tage nach der Haftanordnung nachzuholen, wenn die betroffene Person nicht innert acht Tagen nach der Haftanordnung ausgeschafft werden kann. Unter diesen Umständen ist es angezeigt, die Haft nur für 12 Tage (seit Haftanordnung), d.h. bis zum 31. Dezember 2024, 12.00 Uhr, zu bestätigen.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w:t>
      </w:r>
    </w:p>
    <w:p>
      <w:r>
        <w:t>- 7 - III. Gemäss § 28 Abs. 1 EGAR ist das Verfahren betreffend Haftüberprüfung unentgeltlich. Demgemäss werden keine Kosten erhoben. IV. Nachdem der Gesuchsgegner kein Deutsch versteht, nicht anwaltlich vertreten ist und aufgrund der Inhaftierung auch nicht in der Lage ist, sich das Urteil übersetzen zu lassen, ist das MIKA anzuweisen, dem Gesuchsgegner das vorliegende Urteil in einer für ihn verständlichen Weise zu eröffnen und dem Verwaltungsgericht eine Bestätigung der Urteilseröffnung zukommen zu lassen.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