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WPR.2024.115 vom 19. Dezember 2024</w:t>
      </w:r>
    </w:p>
    <w:p>
      <w:r>
        <w:t>AG Verwaltungsgericht, 2024-12-19, DE</w:t>
      </w:r>
    </w:p>
    <w:p>
      <w:r>
        <w:rPr>
          <w:b/>
        </w:rPr>
        <w:t xml:space="preserve">Quelle: </w:t>
      </w:r>
      <w:r>
        <w:t>https://mcp.opencaselaw.ch/entscheid/ag_verwaltungsgericht_WPR.2024.115</w:t>
      </w:r>
    </w:p>
    <w:p>
      <w:r>
        <w:t>FR: AG_VERWALTUNGSGERICHT WPR.2024.115 du 19 décembre 2024</w:t>
      </w:r>
    </w:p>
    <w:p>
      <w:r>
        <w:t>IT: AG_VERWALTUNGSGERICHT WPR.2024.115 del 19 dicembre 2024</w:t>
      </w:r>
    </w:p>
    <w:p>
      <w:pPr>
        <w:pStyle w:val="Heading2"/>
      </w:pPr>
      <w:r>
        <w:t>Erwägungen</w:t>
      </w:r>
    </w:p>
    <w:p>
      <w:r>
        <w:rPr>
          <w:b/>
        </w:rPr>
        <w:t>E. 2</w:t>
      </w:r>
    </w:p>
    <w:p>
      <w:r>
        <w:t>Eventualiter wird gestützt auf Art. 78 AIG eine Durchsetzungshaft ange- 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- 6 - Mit Verfügung vom 4. April 2024 lehnte das SEM das Asylgesuch des Ge- suchsgegners ab und wies ihn aus der Schweiz und dem Schengen-Raum weg (MI-act. 104). Diese Verfügung erwuchs am 14. April 2024 unange- fochten in Rechtskraft (MI-act. 106). Damit liegt nicht nur ein rechtsgenüg- licher, sondern auch ein rechtskräftiger Wegweisungsentscheid vor.</w:t>
      </w:r>
    </w:p>
    <w:p>
      <w:r>
        <w:rPr>
          <w:b/>
        </w:rPr>
        <w:t>E. 2.3</w:t>
      </w:r>
    </w:p>
    <w:p>
      <w:r>
        <w:t>Gemäss Art. 80 Abs. 6 lit. a AIG ist die Haft zu beenden, wenn sich erweist, dass der Vollzug der Wegweisung aus rechtlichen oder tatsächlichen Grün- den undurchführbar ist. Der Vertreter des Gesuchsgegners bringt diesbezüglich vor, aus dem bis- herigen Verhalten der tunesischen Behörden hinsichtlich der Ausstellung eines Ersatzreisedokuments, welches zur zweimaligen Annullation eines gebuchten Fluges geführt hat, sei zu schliessen, dass künftig kein Ersatz- reisedokument für den Gesuchsgegner ausgestellt werde. Es mangle da- her im vorliegenden Fall an der Vollzugsperspektive. Dem ist nicht zuzustimmen. Massgebend für die Prognose der Durchführ- barkeit des Vollzugs einer Wegweisung ist, ob die Ausschaffung mit hinrei- chender Wahrscheinlichkeit innert absehbarer Zeit möglich erscheint oder nicht. Die Haft hat, weil unverhältnismässig, dann als unzulässig zu gelten, wenn triftige Gründe dafür sprechen, dass die Wegweisung innert vernünf- tiger Frist nicht wird vollzogen werden können (BGE 130 II 56, Erw. 4.1.3). Blosse Erschwernisse, die eine gewisse Zeit in Anspruch nehmen, machen die Ausschaffung aber nicht bereits undurchführbar (Urteil des Bundesge- richts 2C_583/2010 vom 6. August 2010, E. 1.2). Der Umstand, dass sich das MIKA bis anhin zweimal gezwungen sah, aufgrund eines fehlenden Ersatzreisedokuments einen gebuchten Flug für den Gesuchsgegner zu annullieren, reicht nicht, um die Unmöglichkeit des künftigen Vollzuges zu begründen und stellt lediglich ein vorübergehendes Erschwernis im Vollzug der Wegweisung dar. Zudem ist nicht erstellt, dass die tunesischen Behörden die Ausstellung eines Ersatzreisedokuments für den Gesuchs- gegner künftig im Grundsatz verweigern werden. Demnach scheint die Ausstellung eines Ersatzreisedokuments in absehbarer Zeit möglich und die Vollzugsperspektive ist vorliegend weiterhin zu bejahen. Weitere Anzeichen, die an der Ausschaffungsmöglichkeit in rechtlicher oder tatsächlicher Hinsicht Zweifel aufkommen lassen würden, sind eben- falls keine ersichtlich.</w:t>
      </w:r>
    </w:p>
    <w:p>
      <w:r>
        <w:rPr>
          <w:b/>
        </w:rPr>
        <w:t>E. 3</w:t>
      </w:r>
    </w:p>
    <w:p>
      <w:r>
        <w:t>Der mit Urteil vom 3. Oktober 2024 festgestellte Haftgrund der Untertau- chensgefahr besteht nach wie vor (vgl. WPR.2024.92, Erw. II/3; MI- act. 196 ff.). Daran vermögen auch die vom Gesuchsgegner im Rahmen des rechtlichen Gehörs am 10. Dezember 2024 gemachten Äusserungen</w:t>
      </w:r>
    </w:p>
    <w:p>
      <w:r>
        <w:t>- 7 - hinsichtlich seiner behaupteten Ausreisebereitschaft nichts zu ändern (MI- act. 256). In Anbetracht dessen, dass der Gesuchsgegner sich in der Ver- gangenheit mehrfach geäussert hat, die Schweiz nicht in Richtung Tune- sien verlassen zu wollen (MI-act. 128, 162 ff.), sich bei seiner Einreise in die Schweiz einer falschen Identität bedient hat (MI-act. 7) und im Rahmen der Verhandlung vom 3. Oktober 2024 zugab, sich in jüngster Zeit an einem Einbruchdiebstahl beteiligt zu haben, bietet der Gesuchsgegner weiterhin keinerlei Gewähr dafür, bei einer allfälligen Haftentlassung die Schweiz ordnungsgemäss zu verlassen. Die am 10. Dezember 2024 geäusserte Ausreisebereitschaft erscheint demnach als reine Schutzbehauptung. Da- mit ist der Haftgrund von Art. 76 Abs. 1 lit. b Ziff. 3 und 4 AIG weiterhin er- füllt.</w:t>
      </w:r>
    </w:p>
    <w:p>
      <w:r>
        <w:rPr>
          <w:b/>
        </w:rPr>
        <w:t>E. 4</w:t>
      </w:r>
    </w:p>
    <w:p>
      <w:r>
        <w:t>Bezüglich der Haftbedingungen liegen keine Beanstandungen vor.</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 ligten Haft bereits seit drei Monaten in ausländerrechtlicher Haft im Sinne von Art. 75–78 AIG (Ausschaffungshaft 1. Oktober 2024 – 31. Dezember 2024). Die sechsmonatige Frist wird damit am 31. März 2025 enden und die Haft kann längstens bis zum 31. März 2026 verlängert werden.</w:t>
      </w:r>
    </w:p>
    <w:p>
      <w:r>
        <w:rPr>
          <w:b/>
        </w:rPr>
        <w:t>E. 6.3</w:t>
      </w:r>
    </w:p>
    <w:p>
      <w:r>
        <w:t>Das MIKA ordnete die Verlängerung der Ausschaffungshaft um weitere drei Monate, d.h. bis zum 31. März 2025 an.</w:t>
      </w:r>
    </w:p>
    <w:p>
      <w:r>
        <w:t>- 8 -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Ob triftige Gründe für die Undurchführbar- keit des Vollzugs sprechen oder praktisch feststeht, dass sich dieser innert vernünftiger Frist kaum wird realisieren lassen, ist an dieser Stelle nicht mehr zu beurteilen. Dieser Punkt wurde bereits eingehend in Bezug auf die rechtliche und tatsächliche Möglichkeit der Ausschaffung geprüft (vgl. vorne Erw. 2.3).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 che die Verlängerung der Haft als unverhältnismässig erscheinen liessen. III. 1. Gemäss § 28 Abs. 1 EGAR ist das Verfahren betreffend Haftüberprüfung unentgeltlich. Demgemäss werden keine Kosten erhoben. 2. Der mit Urteil vom 3. Oktober 2024 bestätigte amtliche Rechtsvertreter bleibt im Amt und kann seine Kostennote im Rahmen des Verfahrens WPR.2024.92 einreichen. IV. 1. Der Gesuchsgegner wird darauf hingewiesen, dass ein Haftentlassungsge- such frühestens einen Monat nach Haftüberprüfung gestellt werden kann (Art. 80 Abs. 5 AIG) und beim MIKA einzureichen ist (§ 15 Abs. 1 EGAR).</w:t>
      </w:r>
    </w:p>
    <w:p>
      <w:r>
        <w:t>- 9 - 2. Soll die Haft gegebenenfalls verlängert werden, ist nicht zwingend eine wei- tere Verhandlung mit Parteibefragung durchzuführen (vgl. Aargauische Ge- 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 vember 2021) .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