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WPR.2024.111 vom 21. November 2024</w:t>
      </w:r>
    </w:p>
    <w:p>
      <w:r>
        <w:t>AG Verwaltungsgericht, 2024-11-21, DE</w:t>
      </w:r>
    </w:p>
    <w:p>
      <w:r>
        <w:rPr>
          <w:b/>
        </w:rPr>
        <w:t xml:space="preserve">Quelle: </w:t>
      </w:r>
      <w:r>
        <w:t>https://mcp.opencaselaw.ch/entscheid/ag_verwaltungsgericht_WPR.2024.111</w:t>
      </w:r>
    </w:p>
    <w:p>
      <w:r>
        <w:t>FR: AG_VERWALTUNGSGERICHT WPR.2024.111 du 21 novembre 2024</w:t>
      </w:r>
    </w:p>
    <w:p>
      <w:r>
        <w:t>IT: AG_VERWALTUNGSGERICHT WPR.2024.111 del 21 novembre 2024</w:t>
      </w:r>
    </w:p>
    <w:p>
      <w:pPr>
        <w:pStyle w:val="Heading2"/>
      </w:pPr>
      <w:r>
        <w:t>Erwägungen</w:t>
      </w:r>
    </w:p>
    <w:p>
      <w:r>
        <w:rPr>
          <w:b/>
        </w:rPr>
        <w:t>E. 2</w:t>
      </w:r>
    </w:p>
    <w:p>
      <w:r>
        <w:t>Die Haft begann am 20. November 2024, 15.00 Uhr. Sie wird in Anwen- dung von Art. 76 AIG für drei Monate bis zum 19. Februar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w:t>
      </w:r>
    </w:p>
    <w:p>
      <w:r>
        <w:t>- 5 - Mit Entscheid vom 19. Oktober 2021 lehnte das SEM das Asylgesuch des Gesuchsgegners ab und wies ihn gleichzeitig aus der Schweiz weg (MI- act. 234 ff.). Dieser Entscheid erwuchs nach Abweisung einer dagegen er- hobenen Beschwerde in Rechtskraft (MI-act. 249 ff.). Somit liegt nicht nur ein rechtsgenüglicher, sondern auch ein rechtskräftiger Wegweisungsent- 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 zumal für Ausschaffungen in den Irak sämtliche Vollzugsstufen mög- lich sind (Protokoll S. 3, act. 29) und der Gesuchsgegner im Übrigen bereits für einen Sonderflug in den Irak angemeldet wurde (MI-act. 335 f.).</w:t>
      </w:r>
    </w:p>
    <w:p>
      <w:r>
        <w:rPr>
          <w:b/>
        </w:rPr>
        <w:t>E. 3</w:t>
      </w:r>
    </w:p>
    <w:p>
      <w:r>
        <w:t>Die Haft wird im Zentrum für ausländerrechtliche Administrativhaft Zürich (ZAA) oder im Gefängnis Bässlergut Basel vollzogen. Soweit für die Befra- gung oder die Durchführung einer Haftverhandlung zwingend, erfolgt die Inhaftierung für die notwendige Dauer im Bezirksgefängnis Aarau. C. Anlässlich der heutigen Verhandlung vor dem Einzelrichter des Verwal- tungsgerichts wurden der Gesuchsteller und der Gesuchsgegner befragt. D. Der Gesuchsteller beantragte die Bestätigung der Haftanordnung (Proto- koll S. 3, act. 29). Der Gesuchsgegner liess folgenden Antrag stellen (Protokoll S. 3, act. 29): Die mit Verfügung vom 21.11.2024 des Amts für Migration und Integration (MIKA) angeordnete Ausschaffungshaft nach Art. 76 AIG sei nicht zu be- stätigen.</w:t>
      </w:r>
    </w:p>
    <w:p>
      <w:r>
        <w:t>- 4 -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 b/aa). 2. Im vorliegenden Fall wurde der Gesuchsgegner am 20. November 2024, 15.00 Uhr, angehalten. Die mündliche Verhandlung begann am 21. No- vember 2024, 16.35 Uhr; das Urteil wurde um 16.55 Uhr eröffnet. Die rich- 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 schaffung entziehen will, ist aufgrund des ganzen bisherigen Verhaltens, insbesondere auch gegenüber den Behörden, sowie ihrer eigenen Aussa- gen zu beurteilen. Auch wenn einzelne Fakten für sich eine Ausschaffungs- haft nicht rechtfertigen, kann dies aufgrund der Gesamtheit der Vorkomm- 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w:t>
      </w:r>
    </w:p>
    <w:p>
      <w:r>
        <w:t>- 6 - ANDREAS ZÜND, in: MARC SPESCHA/ANDREAS ZÜND/PETER BOLZLI/ CONSTANTIN HRUSCHKA/FANNY DE WECK [Hrsg.], Kommentar Migrations- recht, 5. Aufl., Zürich 2019, N. 7 zu Art. 76 AIG JANINE SERT, in: MARTINA CARONI/DANIELA THURNHERR [Hrsg.], Stämpflis Handkommentar zum Aus- länder- und Integrationsgesetz [AIG], 2. Aufl., Bern 2024, N. 17 zu Art. 76). Der Gesuchsgegner, gegen den ein rechtskräftiger Wegweisungsentscheid vorliegt, hätte die Schweiz gemäss der zuletzt angesetzten Ausreisefrist bis zum 10. Juni 2022 verlassen müssen (MI-act. 267). Anlässlich der beiden Ausreisegespräche vom 8. Juni 2022 bzw. vom 21. Februar 2024 (MI- act. 273 ff., 305 ff.), des rechtlichen Gehörs vom 21. November 2024 (MI- act. 346 ff.) sowie zuletzt anlässlich der heutigen Verhandlung äusserte sich der Gesuchsgegner wiederholt dahingehend, dass er nicht in den Irak zurückkehren wolle bzw. dem Wegweisungsentscheid des SEM nur unter Zwang Folge leisten würde (Protokoll S. 2, act. 28). In dieser konstanten Weigerung, der Ausreisepflicht nachzukommen, ist entgegen den diesbezüglichen Ausführungen des Rechtsvertreters des Gesuchsgegners ein klares Anzeichen dafür zu erkennen, dass sich der Gesuchsgegner der Ausschaffung entziehen will. Daran ändert auch nichts, dass der Gesuchsgegner bisherigen Vorladungen Folge geleistet hat, da diese nicht den konkreten Wegweisungsvollzug des Gesuchsgegners be- zweckten, sondern lediglich Vorbereitungen dazu betrafen. Damit ist der Haftgrund von Art. 76 Abs. 1 lit. b Ziff. 3 und 4 AIG erfüllt.</w:t>
      </w:r>
    </w:p>
    <w:p>
      <w:r>
        <w:rPr>
          <w:b/>
        </w:rPr>
        <w:t>E. 3.2</w:t>
      </w:r>
    </w:p>
    <w:p>
      <w:r>
        <w:t>Ausserdem ist vorliegend auch der Haftgrund nach Art. 76 Abs. 1 lit. b Ziff. 1 i.V.m. Art. 75 Abs. 1 lit. c erfüllt, da der Gesuchsgegner gegen die ihm auferlegte Eingrenzung auf das Gebiet des Kantons Aargau vom 24. August 2022 verstossen hat (MI-act. 286 ff., 300 ff.).</w:t>
      </w:r>
    </w:p>
    <w:p>
      <w:r>
        <w:rPr>
          <w:b/>
        </w:rPr>
        <w:t>E. 4</w:t>
      </w:r>
    </w:p>
    <w:p>
      <w:r>
        <w:t>Bezüglich der Haftbedingungen liegen keine Beanstandungen vor (Proto- koll S. 3, act. 29).</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w:t>
      </w:r>
    </w:p>
    <w:p>
      <w:r>
        <w:t>- 7 -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angesichts der erstellten Untertauchens- gefahr, entgegen den Vorbringen des Rechtsvertreters des Gesuchsgeg- ners, nicht ersichtlich. Wie unter Erw. II/3.1 dargelegt, bietet der Gesuchs- gegner mit seinem Verhalten keinerlei Gewähr für eine ordnungsgemässe Ausreise in den Irak. Die von seinem Rechtsvertreter vorgeschlagene Ein- grenzung (act. 31) könnte nicht sicherstellen, dass der Gesuchsgegner tat- sächlich ausreisen wird. Vielmehr wäre es ihm ohne weiteres möglich, bis zum Rückführungszeitpunkt im Gebiet des Kantons Aargau zu verweilen und sich den Behörden zur Verfügung zu halten, jedoch unterzutauchen, sobald der Rückflug anzutreten wäre.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 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w:t>
      </w:r>
    </w:p>
    <w:p>
      <w:r>
        <w:t>- 8 - Verwaltungsentscheide [AGVE] 2009, S. 359 Erw. I/4.3 ff.). Im Rahmen der Befragung zwecks Gewährung des rechtlichen Gehörs hat das MIKA dem Gesuchsgegner daher die Frage zu unterbreiten, ob er die Durchführung einer mündlichen Verhandlung wünscht und ob er in diesem Fall eine Prä- senzverhandlung verlangt oder mit einer Skype-Verhandlung einverstan- den ist (Urteil des Bundesgerichts 2C_846/2021 vom 19. November 2021). Die Anordnung einer allfälligen Haftverlängerung ist dem Verwaltungsge- richt spätestens acht Arbeitstage vor Ablauf der bewilligten Haft einzu- 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