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WPR.2024.107 vom 11. November 2024</w:t>
      </w:r>
    </w:p>
    <w:p>
      <w:r>
        <w:t>AG Verwaltungsgericht, 2024-11-11, DE</w:t>
      </w:r>
    </w:p>
    <w:p>
      <w:r>
        <w:rPr>
          <w:b/>
        </w:rPr>
        <w:t xml:space="preserve">Quelle: </w:t>
      </w:r>
      <w:r>
        <w:t>https://mcp.opencaselaw.ch/entscheid/ag_verwaltungsgericht_WPR.2024.107</w:t>
      </w:r>
    </w:p>
    <w:p>
      <w:r>
        <w:t>FR: AG_VERWALTUNGSGERICHT WPR.2024.107 du 11 novembre 2024</w:t>
      </w:r>
    </w:p>
    <w:p>
      <w:r>
        <w:t>IT: AG_VERWALTUNGSGERICHT WPR.2024.107 del 11 novembre 2024</w:t>
      </w:r>
    </w:p>
    <w:p>
      <w:pPr>
        <w:pStyle w:val="Heading2"/>
      </w:pPr>
      <w:r>
        <w:t>Erwägungen</w:t>
      </w:r>
    </w:p>
    <w:p>
      <w:r>
        <w:rPr>
          <w:b/>
        </w:rPr>
        <w:t>E. 2</w:t>
      </w:r>
    </w:p>
    <w:p>
      <w:r>
        <w:t>Die Haft begann am 8. November 2024, 10.00 Uhr. Sie wird in Anwendung von Art. 76 AIG für drei Monate bis zum 7. Februar 2025, 10.00 Uhr ange- 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w:t>
      </w:r>
    </w:p>
    <w:p>
      <w:r>
        <w:t>- 5 - Das SEM trat mit Verfügung vom 25. Mai 2022 auf das Asylgesuch des Gesuchsgegners nicht ein und wies ihn aus der Schweiz und dem Schen- gen-Raum weg (MI-act. 15 ff.). Diese Verfügung erwuchs am 2. Juni 2022 unangefochten in Rechtskraft (MI-act. 26 f.). Damit liegt nicht nur ein rechtsgenüglicher, sondern auch ein rechtskräftiger Wegweisungsent- scheid vor.</w:t>
      </w:r>
    </w:p>
    <w:p>
      <w:r>
        <w:rPr>
          <w:b/>
        </w:rPr>
        <w:t>E. 2.3</w:t>
      </w:r>
    </w:p>
    <w:p>
      <w:r>
        <w:t>Gemäss Art. 80 Abs. 6 lit. a AIG ist die Haft zu beenden, wenn sich erweist, dass der Vollzug der Wegweisung aus rechtlichen oder tatsächlichen Grün- den undurchführbar ist.</w:t>
      </w:r>
    </w:p>
    <w:p>
      <w:r>
        <w:rPr>
          <w:b/>
        </w:rPr>
        <w:t>E. 2.3.1</w:t>
      </w:r>
    </w:p>
    <w:p>
      <w:r>
        <w:t>Der Vertreter des Gesuchsgegners führt an, der Vollzug der Wegweisung sei undurchführbar, da der Gesuchsgegner aufgrund der geplanten Heirat mit seiner Lebenspartnerin in naher Zukunft ein Kurzaufenthaltsrecht in der Schweiz erhalten werde (Protokoll, S. 5, act. 30). Die Ausschaffungshaft kann sich gemäss geltender Rechtsprechung als unverhältnismässig erweisen, wenn sämtliche notwendigen Papiere vorlie- gen, ein Heiratstermin feststeht und innert kurzer Frist mit der Erteilung ei- ner Aufenthaltsbewilligung zu rechnen ist (vgl. Urteile 2C_218/2013 vom 26. März 2013, E. 5.2; 2C_150/2012 vom 14. Februar 2012, E. 2.2.2 mit weiteren Hinweisen). Dies ist vorliegend nicht der Fall. Im Rahmen des rechtlichen Gehörs gab der Gesuchsgegner am 8. November 2024 zu Pro- tokoll, dass hinsichtlich der Heirat weder beim Zivilstandsamt noch beim MIKA entsprechende Gesuche eingereicht worden seien. Im Verlauf der heutigen Befragung äusserte sich der Vertreter des Gesuchsgegners da- hingehend, dass entsprechende Gesuche eingereicht würden, sobald alle Voraussetzungen erfüllt seien. Dies sei der Fall, sobald die Lebenspartne- rin des Gesuchsgegners eine neue Arbeitsstelle antrete, welche in Aussicht stünde (Protokoll S. 6, act. 31). Da der Gesuchsgegner eigenen Aussagen zu folge derzeit über keine Iden- titätsdokumente verfügt (MI-act. 147), die notwendigen Papiere zur Ehe- schliessung damit nicht vorliegen, folglich kein Heiratstermin feststeht und beim zuständigen Zivilstandsamt noch nicht einmal das Ehevorbereitungs- verfahren eingeleitet wurde, erübrigen sich weitere Ausführungen zur be- haupteten bevorstehenden Eheschliessung.</w:t>
      </w:r>
    </w:p>
    <w:p>
      <w:r>
        <w:rPr>
          <w:b/>
        </w:rPr>
        <w:t>E. 2.3.2</w:t>
      </w:r>
    </w:p>
    <w:p>
      <w:r>
        <w:t>Darüber hinaus macht der Vertreter des Gesuchsgegners geltend, es be- stehe aufgrund der derzeitigen Schwangerschaft der Lebenspartnerin des Gesuchsgegners gestützt auf Art. 8 EMRK ein Anspruch des Gesuchsgeg- ners auf Erteilung einer Aufenthaltsbewilligung. Der Vollzug der Wegwei- sung werde daher in naher Zukunft rechtlich verunmöglicht. Der Vertreter</w:t>
      </w:r>
    </w:p>
    <w:p>
      <w:r>
        <w:t>- 6 - des Gesuchsgegners verweist hierzu auf BGE 122 II 148, Erw. 3 (Proto- koll, S. 5, act. 30). Der Vertreter des Gesuchsgegners übersieht, dass in jenem Fall aufgrund der erstellten Vaterschaft zu einer Schweizer Tochter eine durch Art. 8 EMRK geschützte Beziehung vorlag, welche weitere Abklärungen erforder- lich machten und welche dazu führten, dass mit einer Ausschaffung innert der damals noch kürzeren Frist von neun Monaten nicht gerechnet werden konnte, weshalb die Haft als unverhältnismässig taxiert wurde. Dies ist hier nicht der Fall, da die Vaterschaft des Gesuchsgegners zum noch ungebo- renen Kind nicht erstellt ist.</w:t>
      </w:r>
    </w:p>
    <w:p>
      <w:r>
        <w:rPr>
          <w:b/>
        </w:rPr>
        <w:t>E. 2.3.3</w:t>
      </w:r>
    </w:p>
    <w:p>
      <w:r>
        <w:t>Weitergehend macht der Vertreter des Gesuchsgegners geltend, der Ge- suchsgegner werde sich sowohl weigern, einen unbegleiteten Flug (DEPU- Flug), als auch einen begleiteten Flug (DEPA-Flug) anzutreten. Folglich sei eine Ausschaffung nicht möglich und der Gesuchsgegner könne nur mittels eines Sonderflugs ausgeschafft werden (Protokoll, S. 3, act. 28). Der Ver- treter des Gesuchsgegners stellt sich diesbezüglich auf den Standpunkt, dass es ungewiss sei, ob und wann wieder Sonderflüge nach Algerien durchgeführt werden könnten. Es fehle folglich zurzeit an der erforderlichen Perspektive zur Durchführung einer zeitnahen Ausreise (Protokoll, S. 5, act. 30). Eine Haftentlassung wegen undurchführbarem Vollzug rechtfertigt sich nur dann, wenn keine oder bloss eine höchst unwahrscheinliche, rein theoreti- sche Möglichkeit besteht, die Wegweisung zu vollziehen (BGE 147 II 49, Erw. 2.2.3). Dies ist etwa der Fall bei länger dauernder Transportunfähig- keit aus gesundheitlichen Gründen oder einer ausdrücklichen oder zumin- dest klar erkennbaren und konsequent gehandhabten Weigerung eines Staates, gewisse Staatsangehörige zurückzunehmen (BGE 125 II 217, Erw. 2). Bei einer ernsthaften, wenn auch allenfalls (noch) geringen Aus- sicht auf den Vollzug der Wegweisung, ist die Haft indessen nicht zu been- den (BGE 130 II 56, Erw. 4.1.3). Die Androhung der Verweigerung eines Linienfluges genügt indes nicht, um den Gesuchsgegner mangels Vollzugsperspektive aus der Ausschaf- fungshaft zu entlassen. In einem Rechtsstaat kann nicht von der Rechts- durchsetzung abgesehen werden, weil der Betroffene erklärt, sich nicht an die Rechtsordnung halten zu wollen (vgl. BGE 136 IV 97, Erw. 6.3.3; Urteil des Bundesgerichts 2C_898/2017 vom 2. Februar 2018, Erw. 4.1). Vorlie- gend ist für den Gesuchsgegner aktuell ein DEPU-Flug oder ein DEPA- Flug geplant. Danach besteht, entgegen der Ansicht des Vertreters des Ge- suchsgegners, durchaus die Möglichkeit einer Rückführung mittels eines Sonderfluges. So finden Sonderflüge nach Algerien bekanntermassen wie- der statt (Gemäss SEM verliessen 2023 mehr weggewiesene Personen die</w:t>
      </w:r>
    </w:p>
    <w:p>
      <w:r>
        <w:t>- 7 - Schweiz als im Vorjahr; online abrufbar unter: https://www.sem.ad- min.ch/sem/de/home/sem/medien/mm.msg-id-100012.html, zuletzt be- sucht am 14. November 2024). Dass aktuell sämtliche Vollzugsmöglichkei- ten nach Algerien bestehen, wurde an der heutigen Verhandlung entspre- chend auch durch die Vertreterin des Gesuchstellers bestätigt (Protokoll, S. 4, act. 29). Nach dem Gesagten ist vorliegend von einer ernsthaften Aussicht auf den Vollzug der Wegweisung auszugehen.</w:t>
      </w:r>
    </w:p>
    <w:p>
      <w:r>
        <w:rPr>
          <w:b/>
        </w:rPr>
        <w:t>E. 2.3.4</w:t>
      </w:r>
    </w:p>
    <w:p>
      <w:r>
        <w:t>Weitere Anzeichen, die an der Ausschaffungsmöglichkeit in rechtlicher oder tatsächlicher Hinsicht Zweifel aufkommen lassen würden, sind nicht ersichtlich.</w:t>
      </w:r>
    </w:p>
    <w:p>
      <w:r>
        <w:rPr>
          <w:b/>
        </w:rPr>
        <w:t>E. 3</w:t>
      </w:r>
    </w:p>
    <w:p>
      <w:r>
        <w:t>Der Rechtsanwalt Camill Droll, substituiert durch den Rechtsanwalt Joël Dietler, sei im Endentscheid als unentgeltlicher Rechtsvertreter des Ge- suchsgegners einzusetzen.</w:t>
      </w:r>
    </w:p>
    <w:p>
      <w:r>
        <w:t>- 4 -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 b/aa). 2. Im vorliegenden Fall wurde der Gesuchsgegner am 8. November 2024, 10.11 Uhr angehalten. Die mündliche Verhandlung begann am 11. Novem- ber 2024, 11.30 Uhr, das Urteil wurde um 12.30 Uhr eröffnet. Die richterli- 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 nung durch das MIKA und damit durch die zuständige Behörde erlassen (act. 1 ff.). 2.</w:t>
      </w:r>
    </w:p>
    <w:p>
      <w:r>
        <w:rPr>
          <w:b/>
        </w:rPr>
        <w:t>E. 3.1.1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w:t>
      </w:r>
    </w:p>
    <w:p>
      <w:r>
        <w:t>- 8 - Zürich 2019, N. 7 zu Art. 76 AIG JANINE SERT, in: MARTINA CARONI/DANIELA THURNHERR [Hrsg.], Stämpflis Handkommentar zum Ausländer- und Integ- rationsgesetz [AIG], 2. Aufl., Bern 2024, N. 17 zu Art. 76).</w:t>
      </w:r>
    </w:p>
    <w:p>
      <w:r>
        <w:rPr>
          <w:b/>
        </w:rPr>
        <w:t>E. 3.1.2</w:t>
      </w:r>
    </w:p>
    <w:p>
      <w:r>
        <w:t>Der Gesuchsgegner ist aufgrund des rechtskräftigen Wegweisungsent- scheides dazu verpflichtet, die Schweiz zu verlassen (MI-act. 26 f.). Nachdem sich der Gesuchsgegner konstant weigerte die Schweiz freiwillig in Richtung Algerien zu verlassen (MI-act. 38 ff., 103 ff., MI-act. 143 ff., Protokoll S. 3, act. 28), liegen klare Anzeichen dafür vor, dass sich der Ge- suchsgegner der Ausschaffung entziehen will. Darüber hinaus ist der Gesuchsgegner im Jahr 2021 unter falscher Identität in die Schweiz eingereist (MI-act. 1 ff.). Wer eine falsche Identität oder ei- nen gefälschten Ausweis verwendet, bietet gemäss ständiger Praxis des Verwaltungsgerichts sowie des Bundesgerichts keine Gewähr für eine selb- ständige Ausreise (vgl. Entscheid des Verwaltungsgerichts WPR.2016.49 vom 21. März 2016, Erw. 3.2; BGE 122 II 49, Erw. 2a). Unter diesen Umständen steht fest, dass der Gesuchsgegner mit seinem Verhalten klare Anzeichen für eine Untertauchensgefahr gesetzt hat und es ist nicht davon auszugehen, dass er die Schweiz nach einer Entlassung aus der Ausschaffungshaft auf direktem Weg freiwillig in Richtung Algerien verlassen würde. Daran vermögen auch die Äusserungen des Vertreters des Gesuchsgeg- ners nichts zu ändern, dass sich die Kooperationsbereitschaft des Ge- suchsgegners mit Beginn der Beziehung zu seiner Lebenspartnerin im No- vember 2023 massgeblich erhöht habe (Protokoll S. 4, act. 29). Eine er- höhte Kooperationsbereitschaft im Bezug auf den Vollzug der Wegweisung ist klarerweise zu verneinen, so hat der Gesuchsgegner doch mehrfach und unmissverständlich zum Ausdruck gebracht, er werde eine Ausreise nach Algerien verweigern (MI-act. 38 ff., 103 ff., 143 ff.). Die Beziehung zu sei- ner Lebenspartnerin ist gar als zusätzliches Indiz zu werten, dass der Voll- zug der Wegweisung verweigert würde, zumal der Gesuchsgegner klar an- gibt, er wolle sein künftiges Leben in der Schweiz verbringen (Protokoll S. 4, act. 29).</w:t>
      </w:r>
    </w:p>
    <w:p>
      <w:r>
        <w:rPr>
          <w:b/>
        </w:rPr>
        <w:t>E. 3.1.3</w:t>
      </w:r>
    </w:p>
    <w:p>
      <w:r>
        <w:t>Damit ist der Haftgrund von Art. 76 Abs. 1 lit. b Ziff. 3 und 4 AIG erfüllt.</w:t>
      </w:r>
    </w:p>
    <w:p>
      <w:r>
        <w:rPr>
          <w:b/>
        </w:rPr>
        <w:t>E. 3.2.1</w:t>
      </w:r>
    </w:p>
    <w:p>
      <w:r>
        <w:t>Das MIKA stützt seine Haftanordnung zudem auf Art. 76 Abs. 1 lit. b Ziff. 1 in Verbindung mit Art. 75 Abs. 1 lit. b AIG, wonach ein Haftgrund gegeben</w:t>
      </w:r>
    </w:p>
    <w:p>
      <w:r>
        <w:t>- 9 - ist, wenn eine ausländische Person ein ihr nach Art. 74 AIG zugewiesenes Gebiet verlässt oder ein ihr verbotenes Gebiet betritt.</w:t>
      </w:r>
    </w:p>
    <w:p>
      <w:r>
        <w:rPr>
          <w:b/>
        </w:rPr>
        <w:t>E. 3.2.2</w:t>
      </w:r>
    </w:p>
    <w:p>
      <w:r>
        <w:t>Mit Verfügung vom 27. Juni 2022 ordnete das MIKA eine Eingrenzung des Gesuchsgegners auf das aargauische Kantonsgebiet an (MI-act. 44 ff.). Der Gesuchsgegner hat mehrfach gegen diese Anordnung verstossen (MI- act. 63 ff., 70 ff., 79 ff.) und wurde mit Strafbefehl der Staatsanwaltschaft Solothurn vom 13. Dezember 2022 wegen mehrfacher Missachtung der Eingrenzung gemäss Art. 119 Abs. 1 AIG rechtskräftig verurteilt. Damit ist der Haftgrund von Art. 76 Abs. 1 lit. b Ziff. 1 AIG i.V.m. Art. 75 Abs. 1 lit. b AIG erfüllt.</w:t>
      </w:r>
    </w:p>
    <w:p>
      <w:r>
        <w:rPr>
          <w:b/>
        </w:rPr>
        <w:t>E. 3.3.1</w:t>
      </w:r>
    </w:p>
    <w:p>
      <w:r>
        <w:t>Das MIKA stützt seine Haftanordnung des Weiteren auf Art. 76 Abs. 1 lit. b Ziff. 1 in Verbindung mit Art. 75 Abs. 1 lit. h AIG, wonach ein Haftgrund ge- geben ist, wenn eine ausländische Person wegen eines Verbrechens ver- urteilt worden ist. Gemäss Art. 10 Abs. 2 StGB sind Verbrechen Taten, die mit Freiheitsstrafe von mehr als drei Jahren bedroht sind.</w:t>
      </w:r>
    </w:p>
    <w:p>
      <w:r>
        <w:rPr>
          <w:b/>
        </w:rPr>
        <w:t>E. 3.3.2</w:t>
      </w:r>
    </w:p>
    <w:p>
      <w:r>
        <w:t>Die Staatsanwaltschaft Solothurn hat den Gesuchsgegner mit Strafbefehl vom 13. Dezember 2022 wegen Diebstahls gemäss Art. 139 Abs. 1 StGB rechtskräftig verurteilt (MI-act. 89 ff.). Art. 139 Abs. 1 ist mit einer Freiheits- strafe von bis zu fünf Jahren oder einer Geldstrafe bedroht, weshalb diese Verurteilung wegen eines Verbrechens erfolgt ist und der Haftgrund ge- mäss Art. 76 Abs. 1 lit. b Ziff. 1 AIG i.V.m. Art. 75 Abs. 1 lit. h AIG erfüllt ist.</w:t>
      </w:r>
    </w:p>
    <w:p>
      <w:r>
        <w:rPr>
          <w:b/>
        </w:rPr>
        <w:t>E. 3.4</w:t>
      </w:r>
    </w:p>
    <w:p>
      <w:r>
        <w:t>Der Vertreter des Gesuchsgegners macht im Hinblick auf die Haftgründe gemäss Art. 76 Abs. 1 lit. b Ziff. 3 und 4 AIG (Untertauchensgefahr) und Art. 76 Abs. 1 lit. b Ziff. 1 AIG i.V.m. Art. 75 Abs. 1 lit. h (Verurteilung wegen eines Verbrechens) geltend, das Vorgehen des MIKA sei widersprüchlich und verletze das Prinzip von Treu und Glauben. Der Strafbefehl bezüglich der Verurteilung eines Verbrechens habe dem MIKA seit dem 17. Januar 2023 vorgelegen und der Gesuchsgegner habe bereits im September 2023 im Rahmen eines Ausreisegesprächs angegeben, nicht nach Algerien zu- rückkehren zu wollen. Damit seien dem MIKA beide Haftgründe mindes- tens acht Monate vor der migrationsrechtlichen Inhaftierung des Gesuchs- gegners am 8. November 2024 bekannt gewesen und es seien seit diesem Zeitpunkt keine neuen Haftgründe dazu gekommen. Diese Argumentation greift ins Leere. Gemäss den vorliegenden Akten war dem MIKA erst seit dem 23. August 2024 bekannt, dass der Gesuchsgeg- ner durch die algerischen Behörden identifiziert worden ist (MI-act. 127 f.).</w:t>
      </w:r>
    </w:p>
    <w:p>
      <w:r>
        <w:t>- 10 - Wie die Vertreterin des Gesuchstellers im Rahmen der heutigen Verhand- lung zutreffend zu Protokoll gegeben hat, bestand erst zu diesem Zeitpunkt eine realistische Perspektive die Wegweisung des Gesuchsgegners zu vollziehen (Protokoll S. 5, act. 30). In der Haftanordnung vom 8. November 2024 bzw. im Auftrag zur Festnahme des MIKA vom 17. September 2024 ist damit keine Verletzung des Prinzips von Treu und Glauben zu erkennen.</w:t>
      </w:r>
    </w:p>
    <w:p>
      <w:r>
        <w:rPr>
          <w:b/>
        </w:rPr>
        <w:t>E. 3.5</w:t>
      </w:r>
    </w:p>
    <w:p>
      <w:r>
        <w:t>Zusammenfassend steht fest, dass die Haftgründe gemäss Art. 76 Abs. 1 lit. b Ziff. 3 und Ziff. 4 AIG (Untertauchensgefahr), Art. 76 Abs. 1 lit. b Ziff. 1 AIG i.V.m. Art. 75 Abs. 1 lit. b AIG (Verstoss gegen eine Rayonauflage) so- wie Art. 76 Abs. 1 lit. b Ziff. 1 AIG i.V.m. Art. 75 Abs. 1 lit. h AIG (Verurtei- lung wegen eines Verbrechens) erfüllt sind.</w:t>
      </w:r>
    </w:p>
    <w:p>
      <w:r>
        <w:rPr>
          <w:b/>
        </w:rPr>
        <w:t>E. 4</w:t>
      </w:r>
    </w:p>
    <w:p>
      <w:r>
        <w:t>Bezüglich der Haftbedingungen liegen keine Beanstandungen vor (Proto- koll S. 3, act. 28).</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Haftan- ordnung sprechen würden. Daran ändert auch die Beziehung des Ge- suchsgegners zu seiner Lebenspartnerin oder die behauptete bevorste- hende Vaterschaft nichts. Der Gesuchsgegner macht auch nicht geltend, er sei nicht hafterstehungsfähig. Insgesamt sind keinerlei Gründe ersicht- lich, welche die angeordnete Haft als unverhältnismässig erscheinen lies- sen.</w:t>
      </w:r>
    </w:p>
    <w:p>
      <w:r>
        <w:t>- 11 - III. 1. Gemäss § 28 Abs. 1 EGAR ist das Verfahren betreffend Haftüberprüfung unentgeltlich. Demgemäss werden keine Kosten erhoben und der diesbe- zügliche Antrag des Vertreters des Gesuchsgegners erübrigt sich.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 senzverhandlung verlangt oder mit einer Skype-Verhandlung einverstan- den ist (Urteil des Bundesgerichts 2C_846/2021 vom 19. November 2021). Die Anordnung einer allfälligen Haftverlängerung ist dem Verwaltungsge- richt spätestens acht Arbeitstage vor Ablauf der bewilligten Haft einzu- 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