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WPR.2024.106 vom 8. November 2024</w:t>
      </w:r>
    </w:p>
    <w:p>
      <w:r>
        <w:t>AG Verwaltungsgericht, 2024-11-08, DE</w:t>
      </w:r>
    </w:p>
    <w:p>
      <w:r>
        <w:rPr>
          <w:b/>
        </w:rPr>
        <w:t xml:space="preserve">Quelle: </w:t>
      </w:r>
      <w:r>
        <w:t>https://mcp.opencaselaw.ch/entscheid/ag_verwaltungsgericht_WPR.2024.106</w:t>
      </w:r>
    </w:p>
    <w:p>
      <w:r>
        <w:t>FR: AG_VERWALTUNGSGERICHT WPR.2024.106 du 8 novembre 2024</w:t>
      </w:r>
    </w:p>
    <w:p>
      <w:r>
        <w:t>IT: AG_VERWALTUNGSGERICHT WPR.2024.106 del 8 novembre 2024</w:t>
      </w:r>
    </w:p>
    <w:p>
      <w:pPr>
        <w:pStyle w:val="Heading2"/>
      </w:pPr>
      <w:r>
        <w:t>Erwägungen</w:t>
      </w:r>
    </w:p>
    <w:p>
      <w:r>
        <w:rPr>
          <w:b/>
        </w:rPr>
        <w:t>E. 2</w:t>
      </w:r>
    </w:p>
    <w:p>
      <w:r>
        <w:t>Die Haft begann am 7. November 2024, 09.30 Uhr. Sie wird in Anwendung von Art. 76 AIG für drei Monate bis zum 6. Februar 2025, 09.30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20. November 2018 lehnte das SEM das Asylgesuch des Gesuchsgegners ab und wies ihn aus der Schweiz weg (MI-act. 25 ff.). Dieser Entscheid erwuchs am 27. Dezember 2018 in Rechtskraft (MI- act. 35). Da der Wegweisungsentscheid mit der Ausreise des Gesuchsgeg- ners nach Deutschland konsumiert wurde, eröffnete das MIKA dem Gesuchsgegner am 10. Oktober 2019 eine neue Wegweisung (MI- act. 60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Der Vertreter des Gesuchsgegners bringt vor, der Vollzug der Wegweisung des Gesuchsgegners nach Äthiopien sei aufgrund der menschenrechtli- chen Situation in Äthiopien unzulässig. Der Gesuchsgegner sei im Falle einer Rückschaffung gestützt auf "seine glaubwürdigen Aussagen" an Leib und Leben bedroht (act. 31). Die Ausführungen des Gesuchsgegners sind dieselben, die er bereits im Rahmen des Asylverfahrens vorgebracht hatte. Das SEM hatte diese damals umfassend beurteilt und ist zum Schluss gekommen, dass die Aussagen unglaubhaft und widersprüchlich seien. Die Vorbringungen des Gesuchsgegners hielten im Resultat weder den Anfor- derungen an die Glaubhaftigkeit gemäss Art. 7 des Asylgesetzes vom 26. Juni 1998 (AsylG; SR 142.31) noch denjenigen an die Flüchtlingseigen- schaft gemäss Art. 3 AsylG stand (MI-act. 29). Zudem kam das SEM zum Schluss, dass der Vollzug der Wegweisung praktisch durchführbar sei (MI-</w:t>
      </w:r>
    </w:p>
    <w:p>
      <w:r>
        <w:t>- 6 - act. 30). Es ist nicht ersichtlich, dass sich seit dem negativen Asylentscheid etwas geändert hätte, was in dieser Hinsicht zu einem anderen Schluss führen müsste. So ergeben sich keine Anhaltspunkte, wonach dem Gesuchsgegner im Falle einer Rückkehr mit beachtlicher Wahrscheinlich- keit eine durch Art. 3 der Konvention zum Schutze der Menschenrechte und Grundfreiheiten vom 4. November 1950 (EMRK, SR 0.101) verbotene Strafe oder Behandlung droht. Das Non-Refoulement Gebot steht demnach dem Vollzug der Wegweisung nicht entgegen. Nach konstanter Rechtspre- chung des Bundesverwaltungsgerichts ist der Vollzug der Wegweisung nach Äthiopien ausserdem zumutbar (vgl. Urteil des Bundesverwaltungs- gerichts D-6630/2018 vom 6. Mai 2019, Erw. 12.2). Weitere Anzeichen, die an der Ausschaffungsmöglichkeit in rechtlicher oder tatsächlicher Hinsicht Zweifel aufkommen lassen würden, sind eben- falls keine ersichtlich.</w:t>
      </w:r>
    </w:p>
    <w:p>
      <w:r>
        <w:rPr>
          <w:b/>
        </w:rPr>
        <w:t>E. 3</w:t>
      </w:r>
    </w:p>
    <w:p>
      <w:r>
        <w:t>Unter Kosten- und Entschädigungsfolgen.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7. November 2024, 9.30 Uhr, angehalten. Die mündliche Verhandlung begann am 8. Novem- ber 2024, 11.00 Uhr; das Urteil wurde um 11.55 Uhr eröffnet. Die richter- liche Haftüberprüfung erfolgte somit innerhalb der Frist von 96 Stunden. II. 1. Wurde ein erstinstanzlicher Weg- oder Ausweisungsentscheid eröffnet oder wurde die betroffene Person mit einer Landesverweisung belegt, kann</w:t>
      </w:r>
    </w:p>
    <w:p>
      <w:r>
        <w:t>- 5 - die zuständige kantonale Behörde die betroffene Person zur Sicherstellung des Vollzugs in Haft nehmen (Art. 76 AIG). Zuständige kantonale Behörde im Sinne von Art. 76 Abs. 1 AIG ist gemäss § 13 Abs. 1 EGAR das MIKA. Im vorliegenden Fall wurde die Haftanord- 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Aussa- gen zu beurteilen. Auch wenn einzelne Fakten für sich eine Ausschaffungs- haft nicht rechtfertigen, kann dies aufgrund der Gesamtheit der Vorkomm- 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 son darauf schliessen lässt, dass sie sich behördlichen Anordnungen widersetzt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ANDREAS ZÜND, in: MARC SPESCHA/ANDREAS ZÜND / PETER BOLZLI / CONSTANTIN HRUSCHKA / FANNY DE WECK [Hrsg.], Kommentar Migrations-</w:t>
      </w:r>
    </w:p>
    <w:p>
      <w:r>
        <w:t>- 7 - recht, 5. Aufl., Zürich 2019, N. 7 zu Art. 76 AIG; JANINE SERT, in: MARTINA CARONI / DANIELA THURNHERR [Hrsg.], Stämpflis Handkommentar zum Ausländer- und Integrationsgesetz [AIG], 2. Aufl., Bern 2024, N. 17 zu Art. 76).</w:t>
      </w:r>
    </w:p>
    <w:p>
      <w:r>
        <w:rPr>
          <w:b/>
        </w:rPr>
        <w:t>E. 3.2</w:t>
      </w:r>
    </w:p>
    <w:p>
      <w:r>
        <w:t>Der Gesuchsgegner ist aufgrund der Wegweisungsverfügung des MIKA vom 10. Oktober 2019 verpflichtet, die Schweiz zu verlassen (MI- act. 297 ff.). Er äusserte sich wiederholt dahingehend, er sei nicht bereit, die Schweiz in Richtung Äthiopien zu verlassen (MI-act. 57, 79, 93, 100, 124). In der stetigen Weigerung, der Ausreisepflicht nachzukommen, ist ein klares Anzeichen dafür zu erkennen, dass sich der Gesuchsgegner der Ausschaffung entziehen will. Des Weiteren hielt sich der Gesuchsgegner vom 2. Januar 2019 bis am 10. Oktober 2019 nicht mehr in der ihm zuge- wiesenen Unterkunft auf und galt als unbekannten Aufenthalts (MI-act. 40). Bei einem bereits zuvor erfolgten Untertauchen ist nach bundesgericht- licher Rechtsprechung regelmässig von einer weiter bestehenden Unter- tauchensgefahr auszugehen (BGE 140 II 1, Erw. 5.3). Hinzukommt, dass der Gesuchsgegner in den letzten Jahren wiederholt aufgefordert wurde, Reisepapiere zu beschaffen und bei der Bestätigung seiner Identität mitzu- wirken (MI-act. 79, 95, 101, 103). Obwohl er während des Ausreisege- sprächs vom 10. Juni 2022 angab, eine Geburtsurkunde besorgen zu können (MI-act. 95), hat er diese auch nach erneuter Aufforderung durch das MIKA im Rahmen des Ausreisegesprächs vom 19. Oktober 2023 (MI- act. 102) nie eingereicht. Auch sonst hat er nichts unternommen, um Dokumente vorzulegen oder in anderer Weise bei der Beschaffung von Ausweispapieren mitzuwirken (MI-act. 79, 95, 102). Der Gesuchsgegner hat damit seine Mitwirkungspflicht nach Art. 90 lit. c AIG sowie Art. 8 Abs. 4 AsylG verletzt, was ein weiteres Anzeichen dafür ist, dass sich der Gesuchsgegner der Ausschaffung entziehen will (vgl. BGE 130 II 377, Erw. 3.2.2). Damit ist der Haftgrund von Art. 76 Abs. 1 lit. b Ziff. 3 und 4 AIG erfüllt.</w:t>
      </w:r>
    </w:p>
    <w:p>
      <w:r>
        <w:rPr>
          <w:b/>
        </w:rPr>
        <w:t>E. 4</w:t>
      </w:r>
    </w:p>
    <w:p>
      <w:r>
        <w:t>Bezüglich der Haftbedingungen liegen keine Beanstandungen vor, die geeignet wären, die Haft als unverhältnismässig zu bezeichnen.</w:t>
      </w:r>
    </w:p>
    <w:p>
      <w:r>
        <w:rPr>
          <w:b/>
        </w:rPr>
        <w:t>E. 5</w:t>
      </w:r>
    </w:p>
    <w:p>
      <w:r>
        <w:t>Es liegen auch keine Anzeichen dafür vor, dass das MIKA dem Beschleu- 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w:t>
      </w:r>
    </w:p>
    <w:p>
      <w:r>
        <w:t>- 8 -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Bezüglich der familiären Verhältnisse ergeben sich keine Anhaltspunkte, welche gegen eine Haftan- ordnung sprechen würden. Der Gesuchsgegner macht auch nicht geltend, er sei nicht hafterstehungsfähig. Insgesamt sind keinerlei Gründe ersicht- lich, welche die angeordnete Haft als unverhältnismässig erscheinen lies- 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 men der Befragung zwecks Gewährung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 vember 2021). Die Anordnung einer allfälligen Haftverlängerung ist dem</w:t>
      </w:r>
    </w:p>
    <w:p>
      <w:r>
        <w:t>- 9 -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