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WPR.2024.105 vom 8. November 2024</w:t>
      </w:r>
    </w:p>
    <w:p>
      <w:r>
        <w:t>AG Verwaltungsgericht, 2024-11-08, DE</w:t>
      </w:r>
    </w:p>
    <w:p>
      <w:r>
        <w:rPr>
          <w:b/>
        </w:rPr>
        <w:t xml:space="preserve">Quelle: </w:t>
      </w:r>
      <w:r>
        <w:t>https://mcp.opencaselaw.ch/entscheid/ag_verwaltungsgericht_WPR.2024.105</w:t>
      </w:r>
    </w:p>
    <w:p>
      <w:r>
        <w:t>FR: AG_VERWALTUNGSGERICHT WPR.2024.105 du 8 novembre 2024</w:t>
      </w:r>
    </w:p>
    <w:p>
      <w:r>
        <w:t>IT: AG_VERWALTUNGSGERICHT WPR.2024.105 del 8 novembre 2024</w:t>
      </w:r>
    </w:p>
    <w:p>
      <w:pPr>
        <w:pStyle w:val="Heading2"/>
      </w:pPr>
      <w:r>
        <w:t>Erwägungen</w:t>
      </w:r>
    </w:p>
    <w:p>
      <w:r>
        <w:rPr>
          <w:b/>
        </w:rPr>
        <w:t>E. 2</w:t>
      </w:r>
    </w:p>
    <w:p>
      <w:r>
        <w:t>Kammer WPR.2024.105 / lm ZEMIS [***]; N [***] Urteil vom 8. November 2024 Besetzung Verwaltungsrichter J. Huber Gerichtsschreiber i.V. Manz Gesuchsteller Amt für Migration und Integration Kanton Aargau, Sektion Asyl und Rückkehr, Bahnhofstrasse 88, 5001 Aarau vertreten durch Bernhard Pigl, Bahnhofstrasse 88, 5001 Aarau Gesuchsgegner A._____, von der Türkei z.Zt. im Bezirksgefängnis Aarau, 5000 Aarau amtlich vertreten durch lic. iur. Martin Leiser, Rechtsanwalt, Bahnhofstrasse 24, 5000 Aarau Gegenstand Ausschaffungshaft gestützt auf Art. 76 AIG / Haftüberprüfung</w:t>
      </w:r>
    </w:p>
    <w:p>
      <w:r>
        <w:t>- 2 - Der Einzelrichter entnimmt den Akten: A. Der Gesuchsgegner reiste am 4. August 2023 in die Schweiz ein und stellte gleichentags ein Asylgesuch (Akten des Amtes für Migration und Integration Kanton Aargau [MI-act.] 6, 28). Mit Strafbefehl der Staatsanwaltschaft Kreuzlingen vom 28. Mai 2024 wurde der Gesuchsgegner wegen Widerhandlung gegen das Bundes- gesetz über die Personenbeförderung vom 20. März 2009 (PBG, SR 745.1) zu einer Busse von Fr. 100.00 verurteilt (MI-act. 46 ff.). Das Staatssekretariat für Migration (SEM) lehnte das vom Gesuchsgegner gestellte Asylgesuch mit Entscheid vom 10. Juni 2024 ab und wies ihn gleichentags aus der Schweiz und dem Schengen-Raum weg (MI- act. 28 ff.). Der Asylentscheid mit Wegweisungsverfügung ist am 15. Juli 2024 in Rechtskraft erwachsen, womit der Gesuchsgegner die Schweiz und den Schengen-Raum bis am 16. Juli 2024 zu verlassen hatte (MI- act. 38). Nachdem der Gesuchsgegner ab dem 26. Juni 2024 als unbekannten Aufenthalts galt (MI-act. 45), wurde er am 5. November 2024 im Rahmen des Dublin-Verfahrens von Deutschland in die Schweiz überstellt (MI- act. 48 f.). Gleichentags wurde der Gesuchsgegner als Ersatzfreiheitsstrafe für nicht bezahlte Bussen für zwei Tage in den Strafvollzug versetzt und nach seiner Entlassung am 7. November 2024 dem Amt für Migration und Integration Kanton Aargau (MIKA) zur Durchführung eines Ausreisegesprächs zuge- führt (MI-act. 51, 54, 56). B. Im Rahmen der Befragung durch das MIKA wurde dem Gesuchsgegner am</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10. Juni 2024 lehnte das SEM das Asylgesuch des Gesuchsgegners ab und wies ihn aus der Schweiz und dem Schengen- Raum weg (MI-act. 28 ff.). Dieser Entscheid erwuchs am 15. Juli 2024 in Rechtskraft (MI-act. 38). Da der Wegweisungsentscheid mit der Ausreise des Gesuchsgegners nach Deutschland konsumiert wurde, eröffnete das MIKA dem Gesuchsgegner am 7. November 2024 eine neue Wegweisung (MI-act. 74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w:t>
      </w:r>
    </w:p>
    <w:p>
      <w:r>
        <w:t>- 5 -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 / ANDREAS ZÜND / PETER BOLZLI / CONSTANTIN HRUSCHKA / FANNY DE WECK [Hrsg.], Kommentar Migrations- recht, 5. Aufl., Zürich 2019, N. 7 zu Art. 76 AIG; JANINE SERT, in: MARTINA CARONI / DANIELA THURNHERR [Hrsg.], Stämpflis Handkommentar zum Ausländer- und Integrationsgesetz [AIG], 2. Aufl., Bern 2024, N. 17 zu Art. 76). 3.2. Der Gesuchsgegner war bereits aufgrund des Wegweisungsentscheids des SEM verpflichtet, die Schweiz und den Schengen-Raum zu verlassen (MI-act. 28 ff.). Dieser Verpflichtung kam er nicht nach, sondern reiste kurz nach Eröffnung des negativen Asylentscheids nach Deutschland aus und galt seither in der Schweiz als unbekannten Aufenthalts (MI-act. 45). Die Aussage des im Asylverfahren amtlich vertretenen Gesuchsgegners, er hätte nicht gewusst, dass er den gesamten Schengen-Raum verlassen müsse (Protokoll S. 3, act. 26), erscheint nicht glaubhaft. So ging aus dem Asyl- und Wegweisungsentscheid vom 10. Juni 2023 klar hervor, dass der Gesuchsgegner das Staatsgebiet der Schweiz sowie den Schengen-Raum am Tag nach Eintritt der Rechtskraft des Entscheids zu verlassen hatte (MI- act. 36). Es kann davon ausgegangen werden, dass dies dem Gesuchs- gegner durch seinen Rechtsvertreter im Asylverfahren auch erklärt wurde. Stattdessen verliess der Gesuchsgegner die ihm zugewiesene Unterkunft rund zwei Wochen nach dem Asylentscheid, ohne dessen Rechtskraft oder ein Ausreisegespräch abzuwarten, im Rahmen dessen ihm seine</w:t>
      </w:r>
    </w:p>
    <w:p>
      <w:r>
        <w:t>- 6 - Verpflichtungen aufgrund des negativen Asylentscheids im Detail hätten erklärt werden können. Bei einem bereits zuvor erfolgten Untertauchen ist nach bundesgerichtlicher Rechtsprechung regelmässig von einer weiter bestehenden Untertauchensgefahr auszugehen (BGE 140 II 1, Erw. 5.3). Umstände, welche trotz des bereits erfolgten Untertauchens gegen eine Untertauchensgefahr sprechen würden, sind nicht erkennbar. Es ist des- halb davon auszugehen, dass sich der Gesuchsgegner nach einer Entlas- sung aus der Ausschaffungshaft der Ausschaffung entziehen würde. Damit ist der Haftgrund von Art. 76 Abs. 1 lit. b Ziff. 3 AIG erfüllt. 4. Bezüglich der Haftbedingungen liegen keine Beanstandungen vor, die geeignet wären, die Haft als unverhältnismässig zu bezeichnen (Protokoll S. 3, act. 26). 5. Es liegen auch keine Anzeichen dafür vor, dass das MIKA dem Be- schleunigungsgebot (Art. 76 Abs. 4 AIG) nicht ausreichend Beachtung geschenkt hätte. 6. Das MIKA ordnete die Ausschaffungshaft für drei Monate an. Da bereits Identitätspapiere des Gesuchsgegners vorliegen, das MIKA bisher stets bemüht war, Ausschaffungen so rasch wie möglich zu vollziehen und anlässlich der heutigen Verhandlung auch nochmals explizit angehalten wurde, den Vollzug der Rückführung möglichst rasch in die Wege zu leiten, ist davon auszugehen, dass eine Ausschaffung zeitnah erfolgen kann. Da es aufgrund des Verhaltens des Gesuchsgegners dennoch zu Verzöge- rungen im Vollzug kommen kann, ist die beantragte Haftdauer nicht zu beanstanden. Sollte das MIKA entgegen seiner bisherigen Gewohnheit das Beschleunigungsgebot verletzen, besteht die Möglichkeit, ein Haftent- 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Entgegen der Ansicht seines Rechtsvertreters, wäre auch eine Eingrenzung nicht geeignet, da, wie oben erläutert, im Falle einer Entlassung aus der Ausschaffungshaft konkrete Anzeichen für eine Untertauchensgefahr bestehen. Bezüglich der familiären Verhältnisse ergeben sich keine Anhaltspunkte, welche gegen eine Haftanordnung sprechen würden. Die Hafterstehungsfähigkeit wurde unmittelbar vor Anordnung der Ausschaffungshaft abgeklärt und bestätigt (MI-act. 81 f., 83). Im Übrigen macht der Gesuchsgegner auch nichts</w:t>
      </w:r>
    </w:p>
    <w:p>
      <w:r>
        <w:t>- 7 - anderes geltend.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 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- 8 -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