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WPR.2023.99 vom 20. Oktober 2023</w:t>
      </w:r>
    </w:p>
    <w:p>
      <w:r>
        <w:t>AG Verwaltungsgericht, 2023-10-20, DE</w:t>
      </w:r>
    </w:p>
    <w:p>
      <w:r>
        <w:rPr>
          <w:b/>
        </w:rPr>
        <w:t xml:space="preserve">Quelle: </w:t>
      </w:r>
      <w:r>
        <w:t>https://mcp.opencaselaw.ch/entscheid/ag_verwaltungsgericht_WPR.2023.99</w:t>
      </w:r>
    </w:p>
    <w:p>
      <w:r>
        <w:t>FR: AG_VERWALTUNGSGERICHT WPR.2023.99 du 20 octobre 2023</w:t>
      </w:r>
    </w:p>
    <w:p>
      <w:r>
        <w:t>IT: AG_VERWALTUNGSGERICHT WPR.2023.99 del 20 ottobre 2023</w:t>
      </w:r>
    </w:p>
    <w:p>
      <w:pPr>
        <w:pStyle w:val="Heading2"/>
      </w:pPr>
      <w:r>
        <w:t>Erwägungen</w:t>
      </w:r>
    </w:p>
    <w:p>
      <w:r>
        <w:rPr>
          <w:b/>
        </w:rPr>
        <w:t>E. 2</w:t>
      </w:r>
    </w:p>
    <w:p>
      <w:r>
        <w:t>Die Haft begann am 17. Oktober 2023, 14.00 Uhr. Sie wird in Anwendung von Art. 76 AIG für drei Monate bis zum 16. Januar 2024,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w:t>
      </w:r>
    </w:p>
    <w:p>
      <w:r>
        <w:t>- 5 - Mit Entscheid vom 8. November 2023 trat das SEM auf das Asylgesuch des Gesuchsgegners nicht ein und wies ihn aus der Schweiz weg (MI- act. 22 ff.). Dieser Entscheid erwuchs am 21. November 2018 unangefochten in Rechtskraft (MI-act. 30).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 Dem Gesuchsgegner ist gemäss den grundsätzlich auch für das haftrichterliche Verfahren massgeblichen Feststellungen im Asylverfahren eine Rückkehr nach Marokko zumutbar (vgl. BGE 128 II 193, Erw. 2.2.2) und es bestehen keine Hinweise auf eine dauerhaft beeinträchtigte Reisefähigkeit. Der Gesuchsgegner wurde sodann mit seinem neuen Geburtsdatum von den marokkanischen Behörden identifiziert und es bestehen keine Hinweise auf eine Verwechslung (MI-act. 323). Ersatzreisepapiere könnten damit zeitnah beschafft werden. Nach glaubhafter Einschätzung des MIKA steht ein Flug zeitnah in Aussicht und sind sowohl begleitete als auch unbegleitete Linienflüge nach Marokko möglich, wobei beim Gesuchsgegner ein begleiteter Flug geplant ist (Protokoll S. 5, act. 26). Es sind damit keine Anzeichen vorhanden, die an der Ausschaffungsmöglichkeit in tatsächlicher oder rechtlicher Hinsicht Zweifel aufkommen lassen würden.</w:t>
      </w:r>
    </w:p>
    <w:p>
      <w:r>
        <w:rPr>
          <w:b/>
        </w:rPr>
        <w:t>E. 3</w:t>
      </w:r>
    </w:p>
    <w:p>
      <w:r>
        <w:t>Die Haft wird im Zentrum für ausländerrechtliche Administrativhaft Zürich (ZAA) vollzogen. Soweit für die Befragung oder die Durchführung einer Haftverhandlung zwingend, erfolgt die Inhaftierung für die notwendige Dauer im Bezirksgefängnis Aarau. C. Anlässlich der heutigen Verhandlung vor dem Einzelrichter des Verwaltungsgerichts wurden der Gesuchsteller und der Gesuchsgegner befragt. D. Der Gesuchsteller beantragte die Bestätigung der Haftanordnung (Protokoll S. 5, act. 26). Der Gesuchsgegner liess folgende Anträge stellen (Protokoll S. 5, act. 26): 1. Die mit Verfügung vom 18. Oktober 2023 angeordnete Ausschaffungshaft des Gesuchsgegners sei nicht zu bestätigen. 2. Es sei der Gesuchsteller anzuweisen, den Gesuchsgegner unverzüglich aus der Haft zu entlassen.</w:t>
      </w:r>
    </w:p>
    <w:p>
      <w:r>
        <w:t>- 4 -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am 17. Oktober 2023, 14.00 Uhr, migrationsrechtlich angehalten. Die mündliche Verhandlung begann am 20. Oktober 2023, 14.10 Uhr; das Urteil wurde um 15.17 Uhr eröffnet. Die richterliche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das MIKA. Im vorliegenden Fall wurde die Haftanordnung durch das MIKA und damit durch die zuständige Behörde erlassen (act. 1 ff.). 2.</w:t>
      </w:r>
    </w:p>
    <w:p>
      <w:r>
        <w:rPr>
          <w:b/>
        </w:rPr>
        <w:t>E. 3.1</w:t>
      </w:r>
    </w:p>
    <w:p>
      <w:r>
        <w:t>Das MIKA stützt seine Haftanordnung unter anderem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w:t>
      </w:r>
    </w:p>
    <w:p>
      <w:r>
        <w:t>- 6 -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 Der Gesuchsgegner, gegen den ein rechtskräftiger Wegweisungsentscheid vorliegt, hätte die Schweiz seit dem 21. November 2018 verlassen müssen (MI-act. 22 ff., 30). Anlässlich diverser Ausreisegespräche und des rechtlichen Gehörs betreffend die Anordnung einer Ausschaffungshaft vom 18. Oktober 2023 sowie anlässlich der heutigen Verhandlung äusserte sich der Gesuchsgegner wiederholt dahingehend, er sei nicht – bzw. zumindest nicht vorbehaltslos – bereit, die Schweiz freiwillig in Richtung Marokko zu verlassen (MI-act.36, 50 ff, 351 ff., Protokoll S. 4, act. 25). In seiner konstanten Weigerung, seiner Ausreisepflicht nachzukommen, ist ein klares Anzeichen dafür zu erkennen, dass er sich seiner Ausschaffung entziehen will. Zudem hat er sich bislang bei der Papierbeschaffung wenig kooperativ gezeigt, behördliche Termine in Zusammenhang mit seiner Ausreise missachtet und selbst an der heutigen Haftverhandlung noch über sein wahres Alter zu täuschen versucht, was ebenfalls eine konkrete Untertauchensgefahr zu begründen vermag. Entgegen der Auffassung seines Vertreters ändert hieran auch nichts, dass sein Aufenthaltsort den Behörden stets bekannt war und er an der ihm zugewiesenen Asylunterkunft angetroffen werden konnte. Viel mehr ist davon auszugehen, dass der Gesuchsgegner nach seiner Haftentlassung und der weiteren Konkretisierung des Wegweisungsvollzugs untertauchen wird. Dies umso mehr, da eine zeitnahe Rückführung nun absehbar ist (Protokoll S. 5, act. 26). Insgesamt setzte der Gesuchsgegner damit klare Anzeichen für eine Untertauchensgefahr und es ist nicht davon auszugehen, dass er nach einer Entlassung aus der Ausschaffungshaft die Schweiz selbständig in</w:t>
      </w:r>
    </w:p>
    <w:p>
      <w:r>
        <w:t>- 7 - Richtung Marokko verlassen würde. Damit ist der Haftgrund von Art. 76 Abs. 1 lit. b Ziff. 3 und 4 AIG erfüllt.</w:t>
      </w:r>
    </w:p>
    <w:p>
      <w:r>
        <w:rPr>
          <w:b/>
        </w:rPr>
        <w:t>E. 3.2</w:t>
      </w:r>
    </w:p>
    <w:p>
      <w:r>
        <w:t>Das MIKA stützt seine Haftanordnung zudem auf Art. 76 Abs. 1 lit. b Ziff. 1 AIG i.V.m. Art. 75 Abs. 1 lit. h AIG, wonach eine Person in Haft genommen werden kann, wenn sie wegen eines Verbrechens verurteilt worden ist. Verbrechen sind gemäss Art. 10 Abs. 2 des Schweizerischen Strafgesetzbuchs vom 21. Dezember 1937 (StGB; SR 311.0) Taten, die mit einer Freiheitsstrafe von mehr als drei Jahren bedroht sind. Für den Haftgrund nach Art. 76 Abs. 1 lit. b Ziff. 1 AIG i.V.m. Art. 75 Abs. 1 lit. h AIG ist erforderlich, dass eine rechtskräftige Verurteilung vorliegt (ANDREAS ZÜND, in: MARC SPESCHA/ANDREAS ZÜND/PETER BOLZLI/CONSTANTIN HRUSCHKA/FANNY DE WECK [Hrsg.], Kommentar Migrationsrecht, 5. Aufl., Zürich 2019, N. 12 zu Art. 75 AIG). Gemäss konstanter bundesgerichtlicher Rechtsprechung ist keine Prognose darüber erforderlich, ob sich der Ausländer dem Vollzug der Wegweisung tatsächlich entziehen wird, sondern das Gesetz vermutet dies aufgrund der schweren Straffälligkeit: Wer die Rechtsordnung im Rahmen eines Verbrechens missachtet hat, ist nach der gesetzlichen Vorgabe auch bereit, sich behördlichen Anordnungen im Zusammenhang mit seiner Ausschaffung zu entziehen (Urteile des Bundesgerichts 2C_455/2009 vom 5. August 2009, Erw. 2.1 und 2C_312/2018 vom 11. Mai 2018, Erw. 3.2). Der Gesuchsgegner wurde mit Strafbefehl der Jungendanwaltschaft des Kantons Aargau vom 8. April 2021 wegen mehrerer vollendeter bzw. versuchter Diebstahlsdelikte verurteilt, wobei er aufgrund seiner falschen Altersangaben nach Jugendstrafrecht beurteilt wurde (MI-act. 326). Die Diebstahlsdelikte qualifizieren nach Art. 139 Ziff. 1 i.V.m. Art. 10 Abs. 2 StGB unabhängig von der Anwendbarkeit des Jugendstrafrechts als Verbrechen, womit auch der Haftgrund von Art. 76 Abs. 1 lit. b Ziff. 1 AIG i.V.m. Art. 75 Abs. 1 lit. h AIG erfüllt ist.</w:t>
      </w:r>
    </w:p>
    <w:p>
      <w:r>
        <w:rPr>
          <w:b/>
        </w:rPr>
        <w:t>E. 3.3</w:t>
      </w:r>
    </w:p>
    <w:p>
      <w:r>
        <w:t>Gemäss Art. 76 Abs. 1 lit. b Ziff. 1 AIG i.V.m. Art. 75 Abs. 1 lit. b AIG kann überdies die Missachtung von Gebietsbeschränkungen Ausschaffungshaft begründen. Der Gesuchsgegner hat sowohl die am 27. Februar 2019 verfügte Eingrenzung auf das Kantonsgebiet als auch die am 15. März 2023 verfügte Ausgrenzung aus der Stadt Aarau wiederholt missachtet, wofür er – zumindest in Bezug auf die Eingrenzung – auch wiederholt bestraft wurde. Er hat damit auch den diesbezüglichen Haftgrund gesetzt.</w:t>
      </w:r>
    </w:p>
    <w:p>
      <w:r>
        <w:t>- 8 -</w:t>
      </w:r>
    </w:p>
    <w:p>
      <w:r>
        <w:rPr>
          <w:b/>
        </w:rPr>
        <w:t>E. 3.4</w:t>
      </w:r>
    </w:p>
    <w:p>
      <w:r>
        <w:t>Nachdem gleich mehrere Haftgründe erfüllt werden, kann offenbleiben, ob darüber hinaus auch der Haftgrund von Art. 76 Abs. 1 lit. b Ziff. 1 AIG i.V.m. Art. 75 Abs. 1 lit. g AIG vorliegt.</w:t>
      </w:r>
    </w:p>
    <w:p>
      <w:r>
        <w:rPr>
          <w:b/>
        </w:rPr>
        <w:t>E. 4</w:t>
      </w:r>
    </w:p>
    <w:p>
      <w:r>
        <w:t>Bezüglich der Haftbedingungen liegen keine Beanstandungen vor, die geeignet wären, die Haft als unverhältnismässig erscheinen zu lassen (Protokoll S. 4, act. 25). Insbesondere ist auch mit einer zeitnahen Überführung in das Zentrum für ausländerrechtliche Administrativhaft Zürich zu rechnen, welches in besonderem Masse auf die Bedürfnisse der ausländerrechtlichen Administrativhaft zugeschnitten ist.</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Dass die Ausschaffungshaft geeignet ist, den Vollzug der Wegweisung sicherzustellen, liegt auf der Hand und bedarf keiner weiteren Ausführungen. Gleiches gilt mit Blick auf die Notwendigkeit der Anordnung einer Ausschaffungshaft. Eine mildere Massnahme zur Sicherstellung des Vollzugs der Wegweisung ist nicht ersichtlich, zumal der Gesuchsgegner bereits mehrfach Gebietsbeschränkungen missachtet hat und mit seinem Verhalten keinerlei Gewähr für eine ordnungsgemässe Ausreise in sein Heimatland bietet. Bezüglich der familiären Verhältnisse ergeben sich keine Anhaltspunkte, welche gegen eine Haftanordnung sprechen würden. Die vom Gesuchsgegner zuletzt kundgegebenen Heiratspläne lassen die</w:t>
      </w:r>
    </w:p>
    <w:p>
      <w:r>
        <w:t>- 9 - Haftanordnung grundsätzlich nicht hinfällig werden und es ist ihm zumutbar, den Ausgang des Bewilligungsverfahrens im Ausland abzuwarten und zu gegebener Zeit bei der schweizerischen Auslandsvertretung im Heimaltland um eine Einreisebewilligung zwecks Heirat zu ersuchen. Der Wegweisungsvollzug wäre höchstens dann unverhältnismässig, wenn sämtliche für den Eheschluss erforderlichen Papiere vorliegen und ein konkreter Heiratstermin feststehen würde sowie binnen kurzem mit der Erteilung einer (Kurz-)Aufenthaltsbewilligung zu rechnen wäre (Urteil des Bundesgerichts 2C_481/2017 vom 15. Dezember 2017, Erw. 2.3). Aufgrund der Aktenlage ist jedoch nicht von einem unmittelbar bevorstehenden Eheschluss auszugehen, zumal der Gesuchsgegner dafür überhaupt erst noch ein Gesuch um Ehevorbereitung beim zuständigen Zivilstandsamt einreichen und seinen Aufenthalt legalisieren müsste (Protokoll S. 3, act. 24). Zudem nimmt die Übersetzung amtlicher ausländischer Dokumente erfahrungsgemäss viel Zeit in Anspruch und werden aufgrund des mangelhaften Legalverhaltens des Gesuchsgegners vor der Bewilligung des Ehegattennachzugs auch noch Widerrufsgründe zu prüfen sein. Der Gesuchsgegner macht sodann auch nicht substanziiert geltend, er sei nicht hafterstehungsfähig. Bezüglich der Rückenschmerzen, die anlässlich der heutigen Verhandlung geltend gemacht wurden, ist der Gesuchsgegner darauf hinzuweisen, dass es ihm während seiner Inhaftierung jederzeit zusteht, eine Untersuchung durch eine ärztliche Fachperson zu verlangen und notwendige Medikamente zu erhalten, er entsprechende Angebote bislang aber nicht in Anspruch nehmen wollte. Insgesamt sind damit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w:t>
      </w:r>
    </w:p>
    <w:p>
      <w:r>
        <w:t>- 10 -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